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B6D68" w14:textId="097D2557" w:rsidR="001D0B93" w:rsidRPr="00C70644" w:rsidRDefault="00D175A3" w:rsidP="001D0B93">
      <w:pPr>
        <w:ind w:firstLine="708"/>
        <w:rPr>
          <w:rFonts w:ascii="Arial" w:hAnsi="Arial" w:cs="Arial"/>
          <w:sz w:val="24"/>
          <w:szCs w:val="24"/>
        </w:rPr>
      </w:pPr>
      <w:r w:rsidRPr="00C70644">
        <w:rPr>
          <w:rFonts w:ascii="Arial" w:hAnsi="Arial" w:cs="Arial"/>
          <w:noProof/>
        </w:rPr>
        <w:drawing>
          <wp:anchor distT="0" distB="0" distL="114300" distR="114300" simplePos="0" relativeHeight="251659264" behindDoc="1" locked="0" layoutInCell="1" allowOverlap="1" wp14:anchorId="210E3AE5" wp14:editId="1E20429E">
            <wp:simplePos x="0" y="0"/>
            <wp:positionH relativeFrom="column">
              <wp:posOffset>-444309</wp:posOffset>
            </wp:positionH>
            <wp:positionV relativeFrom="paragraph">
              <wp:posOffset>334</wp:posOffset>
            </wp:positionV>
            <wp:extent cx="2372400" cy="1116000"/>
            <wp:effectExtent l="0" t="0" r="8890" b="8255"/>
            <wp:wrapTight wrapText="bothSides">
              <wp:wrapPolygon edited="0">
                <wp:start x="0" y="0"/>
                <wp:lineTo x="0" y="21391"/>
                <wp:lineTo x="21507" y="21391"/>
                <wp:lineTo x="21507" y="0"/>
                <wp:lineTo x="0" y="0"/>
              </wp:wrapPolygon>
            </wp:wrapTight>
            <wp:docPr id="127561549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72400" cy="11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FF8B45" w14:textId="77777777" w:rsidR="006C210D" w:rsidRPr="00C70644" w:rsidRDefault="006C210D" w:rsidP="006C210D">
      <w:pPr>
        <w:jc w:val="right"/>
        <w:rPr>
          <w:rFonts w:ascii="Arial" w:hAnsi="Arial" w:cs="Arial"/>
          <w:lang w:val="fr-CH"/>
        </w:rPr>
      </w:pPr>
      <w:r w:rsidRPr="00C70644">
        <w:rPr>
          <w:rFonts w:ascii="Arial" w:hAnsi="Arial" w:cs="Arial"/>
          <w:lang w:val="fr-CH"/>
        </w:rPr>
        <w:t>Villaret, 09.2025 F/W</w:t>
      </w:r>
    </w:p>
    <w:p w14:paraId="2EB8BAB9" w14:textId="77777777" w:rsidR="00D175A3" w:rsidRPr="00C70644" w:rsidRDefault="00D175A3" w:rsidP="001D0B93">
      <w:pPr>
        <w:rPr>
          <w:rFonts w:ascii="Arial" w:hAnsi="Arial" w:cs="Arial"/>
          <w:b/>
          <w:bCs/>
          <w:sz w:val="40"/>
          <w:szCs w:val="40"/>
          <w:lang w:val="fr-CH"/>
        </w:rPr>
      </w:pPr>
    </w:p>
    <w:p w14:paraId="50A480F3" w14:textId="77777777" w:rsidR="00D175A3" w:rsidRPr="00C70644" w:rsidRDefault="00D175A3" w:rsidP="001D0B93">
      <w:pPr>
        <w:rPr>
          <w:rFonts w:ascii="Arial" w:hAnsi="Arial" w:cs="Arial"/>
          <w:b/>
          <w:bCs/>
          <w:sz w:val="40"/>
          <w:szCs w:val="40"/>
          <w:lang w:val="fr-CH"/>
        </w:rPr>
      </w:pPr>
    </w:p>
    <w:p w14:paraId="311FF58C" w14:textId="5C563951" w:rsidR="00E61004" w:rsidRDefault="00E61004" w:rsidP="001D0B93">
      <w:pPr>
        <w:rPr>
          <w:rFonts w:ascii="Arial" w:hAnsi="Arial" w:cs="Arial"/>
          <w:b/>
          <w:bCs/>
          <w:sz w:val="40"/>
          <w:szCs w:val="40"/>
          <w:lang w:val="fr-CH"/>
        </w:rPr>
      </w:pPr>
      <w:r w:rsidRPr="00C70644">
        <w:rPr>
          <w:rFonts w:ascii="Arial" w:hAnsi="Arial" w:cs="Arial"/>
          <w:b/>
          <w:bCs/>
          <w:sz w:val="40"/>
          <w:szCs w:val="40"/>
          <w:lang w:val="fr-CH"/>
        </w:rPr>
        <w:t xml:space="preserve">3) Argumentaire de la </w:t>
      </w:r>
      <w:r w:rsidR="00423390">
        <w:rPr>
          <w:rFonts w:ascii="Arial" w:hAnsi="Arial" w:cs="Arial"/>
          <w:b/>
          <w:bCs/>
          <w:sz w:val="40"/>
          <w:szCs w:val="40"/>
          <w:lang w:val="fr-CH"/>
        </w:rPr>
        <w:t>G</w:t>
      </w:r>
      <w:r w:rsidRPr="00C70644">
        <w:rPr>
          <w:rFonts w:ascii="Arial" w:hAnsi="Arial" w:cs="Arial"/>
          <w:b/>
          <w:bCs/>
          <w:sz w:val="40"/>
          <w:szCs w:val="40"/>
          <w:lang w:val="fr-CH"/>
        </w:rPr>
        <w:t>I FR – UJ</w:t>
      </w:r>
      <w:r w:rsidR="00CC7899" w:rsidRPr="00C70644">
        <w:rPr>
          <w:rFonts w:ascii="Arial" w:hAnsi="Arial" w:cs="Arial"/>
          <w:b/>
          <w:bCs/>
          <w:sz w:val="40"/>
          <w:szCs w:val="40"/>
          <w:lang w:val="fr-CH"/>
        </w:rPr>
        <w:t>FD</w:t>
      </w:r>
    </w:p>
    <w:p w14:paraId="0C78C639" w14:textId="77777777" w:rsidR="00C70644" w:rsidRPr="00C70644" w:rsidRDefault="00C70644" w:rsidP="001D0B93">
      <w:pPr>
        <w:rPr>
          <w:rFonts w:ascii="Arial" w:hAnsi="Arial" w:cs="Arial"/>
          <w:b/>
          <w:bCs/>
          <w:sz w:val="40"/>
          <w:szCs w:val="40"/>
          <w:lang w:val="fr-CH"/>
        </w:rPr>
      </w:pPr>
    </w:p>
    <w:p w14:paraId="669E6D6F" w14:textId="403E4D15" w:rsidR="001D0B93" w:rsidRPr="00C70644" w:rsidRDefault="001D0B93" w:rsidP="001D0B93">
      <w:pPr>
        <w:rPr>
          <w:rFonts w:ascii="Arial" w:hAnsi="Arial" w:cs="Arial"/>
          <w:b/>
          <w:bCs/>
          <w:sz w:val="24"/>
          <w:szCs w:val="24"/>
          <w:lang w:val="fr-CH"/>
        </w:rPr>
      </w:pPr>
      <w:r w:rsidRPr="00C70644">
        <w:rPr>
          <w:rFonts w:ascii="Arial" w:hAnsi="Arial" w:cs="Arial"/>
          <w:b/>
          <w:bCs/>
          <w:sz w:val="24"/>
          <w:szCs w:val="24"/>
          <w:lang w:val="fr-CH"/>
        </w:rPr>
        <w:t>Ce que nous visons</w:t>
      </w:r>
    </w:p>
    <w:p w14:paraId="4A7985A8" w14:textId="02C38343" w:rsidR="00D02A0E" w:rsidRPr="00C70644" w:rsidRDefault="00D02A0E" w:rsidP="007F2D46">
      <w:pPr>
        <w:pStyle w:val="Listenabsatz"/>
        <w:numPr>
          <w:ilvl w:val="0"/>
          <w:numId w:val="2"/>
        </w:numPr>
        <w:rPr>
          <w:rFonts w:ascii="Arial" w:hAnsi="Arial" w:cs="Arial"/>
          <w:lang w:val="fr-CH"/>
        </w:rPr>
      </w:pPr>
      <w:r w:rsidRPr="00C70644">
        <w:rPr>
          <w:rFonts w:ascii="Arial" w:hAnsi="Arial" w:cs="Arial"/>
          <w:lang w:val="fr-CH"/>
        </w:rPr>
        <w:t xml:space="preserve">Nous sommes en accord avec les objectifs généraux de l'aménagement du territoire et de la protection du paysage. La mise en œuvre de nos propositions n'a aucune conséquence sur le volume supplémentaire des bâtiments (seuls les volumes existants dans les parties économiques qui ne sont plus utilisées seraient agrandis) et la proportion de surfaces imperméabilisées reste constante. Nous ne sommes pas seulement en accord avec les objectifs généraux, tels que le principe de séparation, mais nous les soutenons explicitement. </w:t>
      </w:r>
    </w:p>
    <w:p w14:paraId="64F106F1" w14:textId="11472C3A" w:rsidR="00242A62" w:rsidRPr="00C70644" w:rsidRDefault="00242A62" w:rsidP="007F2D46">
      <w:pPr>
        <w:pStyle w:val="Listenabsatz"/>
        <w:numPr>
          <w:ilvl w:val="0"/>
          <w:numId w:val="2"/>
        </w:numPr>
        <w:rPr>
          <w:rFonts w:ascii="Arial" w:hAnsi="Arial" w:cs="Arial"/>
          <w:lang w:val="fr-CH"/>
        </w:rPr>
      </w:pPr>
      <w:r w:rsidRPr="00C70644">
        <w:rPr>
          <w:rFonts w:ascii="Arial" w:hAnsi="Arial" w:cs="Arial"/>
          <w:lang w:val="fr-CH"/>
        </w:rPr>
        <w:t>Avec nos revendications, nous contribuons de manière constructive à une mise en œuvre judicieuse de l'ordonnance sur l'aménagement du territoire II (OAT II) dans le canton de Fribourg. Nous souhaitons particulièrement exprimer notre reconnaissance au Conseil d'État pour sa disposition à intégrer nos préoccupations dans le processus politique de mise en œuvre.</w:t>
      </w:r>
    </w:p>
    <w:p w14:paraId="4CD9A5FA" w14:textId="1C1171BC" w:rsidR="006851B4" w:rsidRPr="00C70644" w:rsidRDefault="006851B4" w:rsidP="007F2D46">
      <w:pPr>
        <w:pStyle w:val="Listenabsatz"/>
        <w:numPr>
          <w:ilvl w:val="0"/>
          <w:numId w:val="2"/>
        </w:numPr>
        <w:rPr>
          <w:rFonts w:ascii="Arial" w:hAnsi="Arial" w:cs="Arial"/>
          <w:lang w:val="fr-CH"/>
        </w:rPr>
      </w:pPr>
      <w:r w:rsidRPr="00C70644">
        <w:rPr>
          <w:rFonts w:ascii="Arial" w:hAnsi="Arial" w:cs="Arial"/>
          <w:lang w:val="fr-CH"/>
        </w:rPr>
        <w:t>Le canton de Fribourg doit permettre la mise en œuvre de l'OAT II relative à l'art. 24 c LAT sur l'ensemble du territoire cantonal sous la forme d'une approche territoriale uniforme. Dans la mesure où les normes fédérales le permettent, il convient de permettre, dans les limites de la surface de bâtiments des anciennes exploitations agricoles soumises à l'ancien droit, la transformation l</w:t>
      </w:r>
      <w:r w:rsidR="00032B66" w:rsidRPr="00C70644">
        <w:rPr>
          <w:rFonts w:ascii="Arial" w:hAnsi="Arial" w:cs="Arial"/>
          <w:lang w:val="fr-CH"/>
        </w:rPr>
        <w:t xml:space="preserve">e </w:t>
      </w:r>
      <w:r w:rsidRPr="00C70644">
        <w:rPr>
          <w:rFonts w:ascii="Arial" w:hAnsi="Arial" w:cs="Arial"/>
          <w:lang w:val="fr-CH"/>
        </w:rPr>
        <w:t xml:space="preserve">plus large possible des surfaces d'exploitation en surfaces d'habitation. Les surfaces d'habitation nouvellement créées doivent être utilisées comme résidence principale. La construction d'unités d'habitation supplémentaires n'est autorisée que si elle n'a pas d'impact négatif sur l'espace et l'environnement. </w:t>
      </w:r>
    </w:p>
    <w:p w14:paraId="7B38559C" w14:textId="40EDF5A3" w:rsidR="006851B4" w:rsidRPr="00C70644" w:rsidRDefault="006851B4" w:rsidP="007F2D46">
      <w:pPr>
        <w:pStyle w:val="Listenabsatz"/>
        <w:numPr>
          <w:ilvl w:val="0"/>
          <w:numId w:val="2"/>
        </w:numPr>
        <w:rPr>
          <w:rFonts w:ascii="Arial" w:hAnsi="Arial" w:cs="Arial"/>
          <w:lang w:val="fr-CH"/>
        </w:rPr>
      </w:pPr>
      <w:r w:rsidRPr="00C70644">
        <w:rPr>
          <w:rFonts w:ascii="Arial" w:hAnsi="Arial" w:cs="Arial"/>
          <w:lang w:val="fr-CH"/>
        </w:rPr>
        <w:t>Afin de rester en accord avec les objectifs généraux de l'aménagement du territoire et de la protection du paysage, nous limitons autant que possible le nombre de bâtiments considérés comme une extension complète à des fins résidentielles et formulons les critères suivants :</w:t>
      </w:r>
    </w:p>
    <w:p w14:paraId="3B394CF7" w14:textId="71CD7498" w:rsidR="006851B4" w:rsidRPr="00C70644" w:rsidRDefault="006851B4" w:rsidP="00A2330F">
      <w:pPr>
        <w:pStyle w:val="Listenabsatz"/>
        <w:numPr>
          <w:ilvl w:val="0"/>
          <w:numId w:val="3"/>
        </w:numPr>
        <w:rPr>
          <w:rFonts w:ascii="Arial" w:hAnsi="Arial" w:cs="Arial"/>
          <w:lang w:val="fr-CH"/>
        </w:rPr>
      </w:pPr>
      <w:r w:rsidRPr="00C70644">
        <w:rPr>
          <w:rFonts w:ascii="Arial" w:hAnsi="Arial" w:cs="Arial"/>
          <w:lang w:val="fr-CH"/>
        </w:rPr>
        <w:t>Anciennes fermes construites selon l'ancienne législation (avant 1972).</w:t>
      </w:r>
    </w:p>
    <w:p w14:paraId="204A6CFC" w14:textId="043ABDD8" w:rsidR="006851B4" w:rsidRPr="00C70644" w:rsidRDefault="006851B4" w:rsidP="00A2330F">
      <w:pPr>
        <w:pStyle w:val="Listenabsatz"/>
        <w:numPr>
          <w:ilvl w:val="0"/>
          <w:numId w:val="3"/>
        </w:numPr>
        <w:rPr>
          <w:rFonts w:ascii="Arial" w:hAnsi="Arial" w:cs="Arial"/>
          <w:lang w:val="fr-CH"/>
        </w:rPr>
      </w:pPr>
      <w:r w:rsidRPr="00C70644">
        <w:rPr>
          <w:rFonts w:ascii="Arial" w:hAnsi="Arial" w:cs="Arial"/>
          <w:lang w:val="fr-CH"/>
        </w:rPr>
        <w:t>Qui ne sont plus utilisées activement (c'est-à-dire qui n'ont plus de numéro d'exploitation) o Dont la partie économique et la partie habitable se trouvent dans une enveloppe de bâtiment liée. À l'inverse, notre demande ne concerne pas les bâtiments économiques isolés et indépendants.</w:t>
      </w:r>
    </w:p>
    <w:p w14:paraId="6243BD70" w14:textId="220D47F9" w:rsidR="006851B4" w:rsidRPr="00C70644" w:rsidRDefault="006851B4" w:rsidP="00A2330F">
      <w:pPr>
        <w:pStyle w:val="Listenabsatz"/>
        <w:numPr>
          <w:ilvl w:val="0"/>
          <w:numId w:val="3"/>
        </w:numPr>
        <w:rPr>
          <w:rFonts w:ascii="Arial" w:hAnsi="Arial" w:cs="Arial"/>
          <w:lang w:val="fr-CH"/>
        </w:rPr>
      </w:pPr>
      <w:r w:rsidRPr="00C70644">
        <w:rPr>
          <w:rFonts w:ascii="Arial" w:hAnsi="Arial" w:cs="Arial"/>
          <w:lang w:val="fr-CH"/>
        </w:rPr>
        <w:t xml:space="preserve">Les anciennes fermes doivent avoir été habitées en permanence depuis l'abandon de l'exploitation. </w:t>
      </w:r>
    </w:p>
    <w:p w14:paraId="1CC83D56" w14:textId="06A00C62" w:rsidR="00215838" w:rsidRDefault="00215838" w:rsidP="007F2D46">
      <w:pPr>
        <w:pStyle w:val="Listenabsatz"/>
        <w:numPr>
          <w:ilvl w:val="0"/>
          <w:numId w:val="2"/>
        </w:numPr>
        <w:rPr>
          <w:rFonts w:ascii="Arial" w:hAnsi="Arial" w:cs="Arial"/>
          <w:lang w:val="fr-CH"/>
        </w:rPr>
      </w:pPr>
      <w:r w:rsidRPr="00C70644">
        <w:rPr>
          <w:rFonts w:ascii="Arial" w:hAnsi="Arial" w:cs="Arial"/>
          <w:lang w:val="fr-CH"/>
        </w:rPr>
        <w:t xml:space="preserve">Cette restriction restrictive des objets concernés limite considérablement les possibilités d'une expansion lucrative et démesurée. La mise en œuvre devrait permettre aux propriétaires de couvrir à peine leurs frais. </w:t>
      </w:r>
    </w:p>
    <w:p w14:paraId="1172E2DA" w14:textId="77777777" w:rsidR="00C252E8" w:rsidRDefault="00C252E8" w:rsidP="00C252E8">
      <w:pPr>
        <w:rPr>
          <w:rFonts w:ascii="Arial" w:hAnsi="Arial" w:cs="Arial"/>
          <w:lang w:val="fr-CH"/>
        </w:rPr>
      </w:pPr>
    </w:p>
    <w:p w14:paraId="1CD27187" w14:textId="77777777" w:rsidR="00C252E8" w:rsidRDefault="00C252E8" w:rsidP="00C252E8">
      <w:pPr>
        <w:rPr>
          <w:rFonts w:ascii="Arial" w:hAnsi="Arial" w:cs="Arial"/>
          <w:lang w:val="fr-CH"/>
        </w:rPr>
      </w:pPr>
    </w:p>
    <w:p w14:paraId="287FFE91" w14:textId="77777777" w:rsidR="00C252E8" w:rsidRPr="00F17638" w:rsidRDefault="00C252E8" w:rsidP="00C252E8">
      <w:pPr>
        <w:rPr>
          <w:rFonts w:ascii="Arial" w:hAnsi="Arial" w:cs="Arial"/>
          <w:lang w:val="fr-CH"/>
        </w:rPr>
      </w:pPr>
    </w:p>
    <w:p w14:paraId="61E9D6F3" w14:textId="1C1CBE3E" w:rsidR="00C252E8" w:rsidRPr="00F17638" w:rsidRDefault="00C252E8" w:rsidP="00C252E8">
      <w:pPr>
        <w:pStyle w:val="KeinLeerraum"/>
        <w:rPr>
          <w:rFonts w:ascii="Arial" w:hAnsi="Arial" w:cs="Arial"/>
          <w:b/>
          <w:bCs/>
          <w:sz w:val="24"/>
          <w:szCs w:val="24"/>
          <w:lang w:val="fr-CH"/>
        </w:rPr>
      </w:pPr>
      <w:r w:rsidRPr="00F17638">
        <w:rPr>
          <w:rFonts w:ascii="Arial" w:hAnsi="Arial" w:cs="Arial"/>
          <w:b/>
          <w:bCs/>
          <w:sz w:val="24"/>
          <w:szCs w:val="24"/>
          <w:lang w:val="fr-CH"/>
        </w:rPr>
        <w:t>Les défis du canton</w:t>
      </w:r>
    </w:p>
    <w:p w14:paraId="19B9FAC5" w14:textId="77777777" w:rsidR="003F0BA5" w:rsidRPr="00F17638" w:rsidRDefault="003F0BA5" w:rsidP="00C252E8">
      <w:pPr>
        <w:pStyle w:val="KeinLeerraum"/>
        <w:rPr>
          <w:rFonts w:ascii="Arial" w:hAnsi="Arial" w:cs="Arial"/>
          <w:b/>
          <w:bCs/>
          <w:sz w:val="24"/>
          <w:szCs w:val="24"/>
          <w:lang w:val="fr-CH"/>
        </w:rPr>
      </w:pPr>
    </w:p>
    <w:p w14:paraId="4726D0A3" w14:textId="54A1174A" w:rsidR="003F0BA5" w:rsidRPr="00F17638" w:rsidRDefault="003F0BA5" w:rsidP="00C252E8">
      <w:pPr>
        <w:pStyle w:val="KeinLeerraum"/>
        <w:rPr>
          <w:rFonts w:ascii="Arial" w:hAnsi="Arial" w:cs="Arial"/>
          <w:lang w:val="fr-CH"/>
        </w:rPr>
      </w:pPr>
      <w:r w:rsidRPr="00F17638">
        <w:rPr>
          <w:rFonts w:ascii="Arial" w:hAnsi="Arial" w:cs="Arial"/>
          <w:lang w:val="fr-CH"/>
        </w:rPr>
        <w:t>La politique cantonale est confrontée à la tâche ambitieuse de mettre en œuvre la LAT II dans les délais imposés, dans les cinq ans suivant sa mise en vigueur. Il faut toutefois admettre que la version définitive de la LAT II laissera probablement une grande marge d'interprétation, que le canton pourra exploiter en fonction de ses nécessités spécifiques.</w:t>
      </w:r>
    </w:p>
    <w:p w14:paraId="48E5D97E" w14:textId="77777777" w:rsidR="00215838" w:rsidRDefault="00215838" w:rsidP="00215838">
      <w:pPr>
        <w:rPr>
          <w:rFonts w:ascii="Arial" w:hAnsi="Arial" w:cs="Arial"/>
          <w:lang w:val="fr-CH"/>
        </w:rPr>
      </w:pPr>
    </w:p>
    <w:p w14:paraId="2D00C7B5" w14:textId="2AC7EC78" w:rsidR="008C3762" w:rsidRPr="006E4199" w:rsidRDefault="00F17638" w:rsidP="006E4199">
      <w:pPr>
        <w:pStyle w:val="Listenabsatz"/>
        <w:numPr>
          <w:ilvl w:val="0"/>
          <w:numId w:val="5"/>
        </w:numPr>
        <w:rPr>
          <w:rFonts w:ascii="Arial" w:hAnsi="Arial" w:cs="Arial"/>
          <w:lang w:val="fr-CH"/>
        </w:rPr>
      </w:pPr>
      <w:r w:rsidRPr="006E4199">
        <w:rPr>
          <w:rFonts w:ascii="Arial" w:hAnsi="Arial" w:cs="Arial"/>
          <w:lang w:val="fr-CH"/>
        </w:rPr>
        <w:t xml:space="preserve">Il apparaît clairement dès à présent que la demande formulée dans notre prise de position du 20 août 2024 (« la surface habitable existante peut être agrandie dans le volume bâti existant ») est conforme au droit fédéral. </w:t>
      </w:r>
    </w:p>
    <w:p w14:paraId="7F1C6729" w14:textId="4C73C8E2" w:rsidR="00F17638" w:rsidRDefault="00F17638" w:rsidP="006E4199">
      <w:pPr>
        <w:pStyle w:val="Listenabsatz"/>
        <w:numPr>
          <w:ilvl w:val="0"/>
          <w:numId w:val="5"/>
        </w:numPr>
        <w:rPr>
          <w:rFonts w:ascii="Arial" w:hAnsi="Arial" w:cs="Arial"/>
          <w:lang w:val="fr-CH"/>
        </w:rPr>
      </w:pPr>
      <w:r w:rsidRPr="006E4199">
        <w:rPr>
          <w:rFonts w:ascii="Arial" w:hAnsi="Arial" w:cs="Arial"/>
          <w:lang w:val="fr-CH"/>
        </w:rPr>
        <w:t>Notre démarche est compatible avec une mise en application aussi simple et transparente que possible de l'OAT II dans le canton de Fribourg. Comme indiqué précédemment, l'approbation des modifications du plan directeur doit intervenir dans les cinq ans suivant l'entrée en vigueur de la modification de la loi. L'intégration de la stratégie de stabilisation s'inscrit dans la procédure ordinaire du plan directeur, c'est-à-dire qu'elle doit être approuvée par le Conseil fédéral. Toutefois, si aucun plan directeur adapté et approuvé n'est disponible dans le délai imparti, la loi stipule que tout nouveau bâtiment construit en dehors des zones à bâtir est soumis à une obligation de compensation jusqu'à ce qu'un tel plan directeur soit disponible. La comparaison par rapport à la situation au 29 septembre 2023 est déterminante pour évaluer la réalisation des objectifs.</w:t>
      </w:r>
    </w:p>
    <w:p w14:paraId="0E7EB665" w14:textId="77777777" w:rsidR="005B31EF" w:rsidRDefault="005B31EF" w:rsidP="005B31EF">
      <w:pPr>
        <w:rPr>
          <w:rFonts w:ascii="Arial" w:hAnsi="Arial" w:cs="Arial"/>
          <w:lang w:val="fr-CH"/>
        </w:rPr>
      </w:pPr>
    </w:p>
    <w:p w14:paraId="5F529F7E" w14:textId="4A850E1C" w:rsidR="005B31EF" w:rsidRDefault="005B31EF" w:rsidP="005B31EF">
      <w:pPr>
        <w:rPr>
          <w:rFonts w:ascii="Arial" w:hAnsi="Arial" w:cs="Arial"/>
          <w:b/>
          <w:bCs/>
          <w:sz w:val="24"/>
          <w:szCs w:val="24"/>
          <w:lang w:val="fr-CH"/>
        </w:rPr>
      </w:pPr>
      <w:r w:rsidRPr="005B31EF">
        <w:rPr>
          <w:rFonts w:ascii="Arial" w:hAnsi="Arial" w:cs="Arial"/>
          <w:b/>
          <w:bCs/>
          <w:sz w:val="24"/>
          <w:szCs w:val="24"/>
          <w:lang w:val="fr-CH"/>
        </w:rPr>
        <w:t>Effets secondaires positifs liés à la mise en œuvre de notre proposition</w:t>
      </w:r>
    </w:p>
    <w:p w14:paraId="089BB874" w14:textId="77777777" w:rsidR="00194A36" w:rsidRDefault="00194A36" w:rsidP="004F29A4">
      <w:pPr>
        <w:pStyle w:val="Listenabsatz"/>
        <w:numPr>
          <w:ilvl w:val="0"/>
          <w:numId w:val="6"/>
        </w:numPr>
        <w:rPr>
          <w:rFonts w:ascii="Arial" w:hAnsi="Arial" w:cs="Arial"/>
          <w:b/>
          <w:bCs/>
          <w:sz w:val="24"/>
          <w:szCs w:val="24"/>
          <w:lang w:val="fr-CH"/>
        </w:rPr>
      </w:pPr>
      <w:r w:rsidRPr="004F29A4">
        <w:rPr>
          <w:rFonts w:ascii="Arial" w:hAnsi="Arial" w:cs="Arial"/>
          <w:lang w:val="fr-CH"/>
        </w:rPr>
        <w:t>Il a déjà été démontré que notre proposition respecte les exigences quantitatives en matière d'aménagement du territoire et de protection du paysage. Le principe de séparation n'est pas violé, il n'y a pas d'extension des bâtiments ni des surfaces imperméabilisées. La politique cantonale peut toutefois, en mettant en œuvre notre demande, non seulement améliorer la qualité de vie et d'habitat des utilisateurs concernés, mais aussi créer une plus-value qualitative, que ce soit par des exigences formelles lors de l'octroi d'une autorisation ou par des effets secondaires positifs attendus</w:t>
      </w:r>
      <w:r w:rsidRPr="004F29A4">
        <w:rPr>
          <w:rFonts w:ascii="Arial" w:hAnsi="Arial" w:cs="Arial"/>
          <w:b/>
          <w:bCs/>
          <w:sz w:val="24"/>
          <w:szCs w:val="24"/>
          <w:lang w:val="fr-CH"/>
        </w:rPr>
        <w:t xml:space="preserve">. </w:t>
      </w:r>
    </w:p>
    <w:p w14:paraId="55D53A03" w14:textId="77777777" w:rsidR="004A0D16" w:rsidRPr="004F29A4" w:rsidRDefault="004A0D16" w:rsidP="004A0D16">
      <w:pPr>
        <w:pStyle w:val="Listenabsatz"/>
        <w:rPr>
          <w:rFonts w:ascii="Arial" w:hAnsi="Arial" w:cs="Arial"/>
          <w:b/>
          <w:bCs/>
          <w:sz w:val="24"/>
          <w:szCs w:val="24"/>
          <w:lang w:val="fr-CH"/>
        </w:rPr>
      </w:pPr>
    </w:p>
    <w:p w14:paraId="17CC4B70" w14:textId="77777777" w:rsidR="004F29A4" w:rsidRPr="004F29A4" w:rsidRDefault="004F29A4" w:rsidP="004F29A4">
      <w:pPr>
        <w:pStyle w:val="Listenabsatz"/>
        <w:numPr>
          <w:ilvl w:val="0"/>
          <w:numId w:val="7"/>
        </w:numPr>
        <w:rPr>
          <w:rFonts w:ascii="Arial" w:hAnsi="Arial" w:cs="Arial"/>
          <w:lang w:val="fr-CH"/>
        </w:rPr>
      </w:pPr>
      <w:r w:rsidRPr="004F29A4">
        <w:rPr>
          <w:rFonts w:ascii="Arial" w:hAnsi="Arial" w:cs="Arial"/>
          <w:lang w:val="fr-CH"/>
        </w:rPr>
        <w:t>Effets secondaires positifs attendus (facteurs subjectifs)</w:t>
      </w:r>
    </w:p>
    <w:p w14:paraId="1376D817" w14:textId="02A5B2CE" w:rsidR="004F29A4" w:rsidRPr="004A0D16" w:rsidRDefault="004F29A4" w:rsidP="004A0D16">
      <w:pPr>
        <w:pStyle w:val="Listenabsatz"/>
        <w:numPr>
          <w:ilvl w:val="0"/>
          <w:numId w:val="8"/>
        </w:numPr>
        <w:rPr>
          <w:rFonts w:ascii="Arial" w:hAnsi="Arial" w:cs="Arial"/>
          <w:lang w:val="fr-CH"/>
        </w:rPr>
      </w:pPr>
      <w:r w:rsidRPr="004A0D16">
        <w:rPr>
          <w:rFonts w:ascii="Arial" w:hAnsi="Arial" w:cs="Arial"/>
          <w:lang w:val="fr-CH"/>
        </w:rPr>
        <w:t xml:space="preserve">Stabilisation de la population rurale. Entre 2000 et 2016, le nombre d'habitants vivant en dehors des zones à bâtir a diminué de plus de 30 000 au niveau national. Leur part dans la population totale est passée de 6,5 % à 5,2 %. Actuellement, leur part dans la population totale est encore de 4,9 % (environ 425 000 personnes). </w:t>
      </w:r>
    </w:p>
    <w:p w14:paraId="514C9A02" w14:textId="48F4F7D6" w:rsidR="004F29A4" w:rsidRDefault="004F29A4" w:rsidP="004A0D16">
      <w:pPr>
        <w:pStyle w:val="Listenabsatz"/>
        <w:numPr>
          <w:ilvl w:val="0"/>
          <w:numId w:val="8"/>
        </w:numPr>
        <w:rPr>
          <w:rFonts w:ascii="Arial" w:hAnsi="Arial" w:cs="Arial"/>
          <w:lang w:val="fr-CH"/>
        </w:rPr>
      </w:pPr>
      <w:r w:rsidRPr="004A0D16">
        <w:rPr>
          <w:rFonts w:ascii="Arial" w:hAnsi="Arial" w:cs="Arial"/>
          <w:lang w:val="fr-CH"/>
        </w:rPr>
        <w:t>Pour la population rurale actuelle, plus les habitants sont pauvres, plus leur situation en matière de logement est précaire et, en raison de leurs moyens financiers limités, il leur est difficile de se rabattre sur les zones à bâtir.</w:t>
      </w:r>
    </w:p>
    <w:p w14:paraId="01ABDF01" w14:textId="77777777" w:rsidR="004A0D16" w:rsidRPr="004A0D16" w:rsidRDefault="004A0D16" w:rsidP="004A0D16">
      <w:pPr>
        <w:pStyle w:val="Listenabsatz"/>
        <w:numPr>
          <w:ilvl w:val="0"/>
          <w:numId w:val="8"/>
        </w:numPr>
        <w:rPr>
          <w:rFonts w:ascii="Arial" w:hAnsi="Arial" w:cs="Arial"/>
          <w:lang w:val="fr-CH"/>
        </w:rPr>
      </w:pPr>
      <w:r w:rsidRPr="004A0D16">
        <w:rPr>
          <w:rFonts w:ascii="Arial" w:hAnsi="Arial" w:cs="Arial"/>
          <w:lang w:val="fr-CH"/>
        </w:rPr>
        <w:t xml:space="preserve">Dans une moindre mesure, allègement de la pression sur les logements locatifs et en copropriété dans les agglomérations et les villes. </w:t>
      </w:r>
    </w:p>
    <w:p w14:paraId="3996DE7D" w14:textId="72E181CF" w:rsidR="004A0D16" w:rsidRPr="004A0D16" w:rsidRDefault="004A0D16" w:rsidP="004A0D16">
      <w:pPr>
        <w:pStyle w:val="Listenabsatz"/>
        <w:numPr>
          <w:ilvl w:val="0"/>
          <w:numId w:val="8"/>
        </w:numPr>
        <w:rPr>
          <w:rFonts w:ascii="Arial" w:hAnsi="Arial" w:cs="Arial"/>
          <w:lang w:val="fr-CH"/>
        </w:rPr>
      </w:pPr>
      <w:r w:rsidRPr="004A0D16">
        <w:rPr>
          <w:rFonts w:ascii="Arial" w:hAnsi="Arial" w:cs="Arial"/>
          <w:lang w:val="fr-CH"/>
        </w:rPr>
        <w:t>Revalorisation du paysage grâce à la prévention de la dégradation des zones économiques.</w:t>
      </w:r>
    </w:p>
    <w:p w14:paraId="6BE232EF" w14:textId="6C1D510B" w:rsidR="004A0D16" w:rsidRPr="004A0D16" w:rsidRDefault="004A0D16" w:rsidP="004A0D16">
      <w:pPr>
        <w:pStyle w:val="Listenabsatz"/>
        <w:numPr>
          <w:ilvl w:val="0"/>
          <w:numId w:val="8"/>
        </w:numPr>
        <w:rPr>
          <w:rFonts w:ascii="Arial" w:hAnsi="Arial" w:cs="Arial"/>
          <w:lang w:val="fr-CH"/>
        </w:rPr>
      </w:pPr>
      <w:r w:rsidRPr="004A0D16">
        <w:rPr>
          <w:rFonts w:ascii="Arial" w:hAnsi="Arial" w:cs="Arial"/>
          <w:lang w:val="fr-CH"/>
        </w:rPr>
        <w:t>Possibilité de créer des modèles d'habitation multigénérationnels et des jardins communautaires à la campagne.</w:t>
      </w:r>
    </w:p>
    <w:p w14:paraId="30985557" w14:textId="0E07629D" w:rsidR="004A0D16" w:rsidRPr="004A0D16" w:rsidRDefault="004A0D16" w:rsidP="004A0D16">
      <w:pPr>
        <w:pStyle w:val="Listenabsatz"/>
        <w:numPr>
          <w:ilvl w:val="0"/>
          <w:numId w:val="8"/>
        </w:numPr>
        <w:rPr>
          <w:rFonts w:ascii="Arial" w:hAnsi="Arial" w:cs="Arial"/>
          <w:lang w:val="fr-CH"/>
        </w:rPr>
      </w:pPr>
      <w:r w:rsidRPr="004A0D16">
        <w:rPr>
          <w:rFonts w:ascii="Arial" w:hAnsi="Arial" w:cs="Arial"/>
          <w:lang w:val="fr-CH"/>
        </w:rPr>
        <w:t>Arrêts supplémentaires dans les réseaux de transports publics existants.</w:t>
      </w:r>
    </w:p>
    <w:p w14:paraId="02BD2CA7" w14:textId="77777777" w:rsidR="004F29A4" w:rsidRPr="004F29A4" w:rsidRDefault="004F29A4" w:rsidP="004F29A4">
      <w:pPr>
        <w:rPr>
          <w:rFonts w:ascii="Arial" w:hAnsi="Arial" w:cs="Arial"/>
          <w:lang w:val="fr-CH"/>
        </w:rPr>
      </w:pPr>
    </w:p>
    <w:p w14:paraId="2E66A1B1" w14:textId="77777777" w:rsidR="004F29A4" w:rsidRPr="004F29A4" w:rsidRDefault="004F29A4" w:rsidP="004F29A4">
      <w:pPr>
        <w:rPr>
          <w:rFonts w:ascii="Arial" w:hAnsi="Arial" w:cs="Arial"/>
          <w:lang w:val="fr-CH"/>
        </w:rPr>
      </w:pPr>
    </w:p>
    <w:p w14:paraId="34622146" w14:textId="77777777" w:rsidR="00B437EF" w:rsidRPr="00EB5835" w:rsidRDefault="00B437EF" w:rsidP="00EB5835">
      <w:pPr>
        <w:pStyle w:val="Listenabsatz"/>
        <w:numPr>
          <w:ilvl w:val="0"/>
          <w:numId w:val="7"/>
        </w:numPr>
        <w:rPr>
          <w:rFonts w:ascii="Arial" w:hAnsi="Arial" w:cs="Arial"/>
          <w:lang w:val="fr-CH"/>
        </w:rPr>
      </w:pPr>
      <w:r w:rsidRPr="00EB5835">
        <w:rPr>
          <w:rFonts w:ascii="Arial" w:hAnsi="Arial" w:cs="Arial"/>
          <w:lang w:val="fr-CH"/>
        </w:rPr>
        <w:t xml:space="preserve">Mesures possibles que le propriétaire / l'entrepreneur peut présenter avec la demande de permis de construire. L'État peut les modifier ou ordonner des mesures supplémentaires en cas pour une autorisation. </w:t>
      </w:r>
    </w:p>
    <w:p w14:paraId="77A0D3C6" w14:textId="77777777" w:rsidR="00EB5835" w:rsidRPr="00EB5835" w:rsidRDefault="00B437EF" w:rsidP="00EB5835">
      <w:pPr>
        <w:pStyle w:val="Listenabsatz"/>
        <w:numPr>
          <w:ilvl w:val="0"/>
          <w:numId w:val="9"/>
        </w:numPr>
        <w:rPr>
          <w:rFonts w:ascii="Arial" w:hAnsi="Arial" w:cs="Arial"/>
          <w:lang w:val="fr-CH"/>
        </w:rPr>
      </w:pPr>
      <w:r w:rsidRPr="00EB5835">
        <w:rPr>
          <w:rFonts w:ascii="Arial" w:hAnsi="Arial" w:cs="Arial"/>
          <w:lang w:val="fr-CH"/>
        </w:rPr>
        <w:t>Rénovations énergétiques, p. ex. obligation d'installer des panneaux solaires</w:t>
      </w:r>
    </w:p>
    <w:p w14:paraId="20F55735" w14:textId="77777777" w:rsidR="00EB5835" w:rsidRPr="00EB5835" w:rsidRDefault="00B437EF" w:rsidP="00EB5835">
      <w:pPr>
        <w:pStyle w:val="Listenabsatz"/>
        <w:numPr>
          <w:ilvl w:val="0"/>
          <w:numId w:val="9"/>
        </w:numPr>
        <w:rPr>
          <w:rFonts w:ascii="Arial" w:hAnsi="Arial" w:cs="Arial"/>
          <w:lang w:val="fr-CH"/>
        </w:rPr>
      </w:pPr>
      <w:r w:rsidRPr="00EB5835">
        <w:rPr>
          <w:rFonts w:ascii="Arial" w:hAnsi="Arial" w:cs="Arial"/>
          <w:lang w:val="fr-CH"/>
        </w:rPr>
        <w:t>Projets de renaturation</w:t>
      </w:r>
    </w:p>
    <w:p w14:paraId="168CE54B" w14:textId="394CBF87" w:rsidR="00B437EF" w:rsidRPr="00EB5835" w:rsidRDefault="00B437EF" w:rsidP="00EB5835">
      <w:pPr>
        <w:pStyle w:val="Listenabsatz"/>
        <w:numPr>
          <w:ilvl w:val="0"/>
          <w:numId w:val="9"/>
        </w:numPr>
        <w:rPr>
          <w:rFonts w:ascii="Arial" w:hAnsi="Arial" w:cs="Arial"/>
          <w:lang w:val="fr-CH"/>
        </w:rPr>
      </w:pPr>
      <w:r w:rsidRPr="00EB5835">
        <w:rPr>
          <w:rFonts w:ascii="Arial" w:hAnsi="Arial" w:cs="Arial"/>
          <w:lang w:val="fr-CH"/>
        </w:rPr>
        <w:t>Valorisation du patrimoine arboricole, plantation, mesures en faveur de la biodiversité</w:t>
      </w:r>
    </w:p>
    <w:p w14:paraId="36451FB3" w14:textId="6D5B34EA" w:rsidR="00B437EF" w:rsidRPr="00EB5835" w:rsidRDefault="00B437EF" w:rsidP="00EB5835">
      <w:pPr>
        <w:pStyle w:val="Listenabsatz"/>
        <w:numPr>
          <w:ilvl w:val="0"/>
          <w:numId w:val="9"/>
        </w:numPr>
        <w:rPr>
          <w:rFonts w:ascii="Arial" w:hAnsi="Arial" w:cs="Arial"/>
          <w:lang w:val="fr-CH"/>
        </w:rPr>
      </w:pPr>
      <w:r w:rsidRPr="00EB5835">
        <w:rPr>
          <w:rFonts w:ascii="Arial" w:hAnsi="Arial" w:cs="Arial"/>
          <w:lang w:val="fr-CH"/>
        </w:rPr>
        <w:t>Corridors écologiques (p. ex. migrations d'animaux sauvages)</w:t>
      </w:r>
    </w:p>
    <w:p w14:paraId="175B06F2" w14:textId="77777777" w:rsidR="009071CB" w:rsidRPr="009071CB" w:rsidRDefault="00B437EF" w:rsidP="00EB5835">
      <w:pPr>
        <w:pStyle w:val="Listenabsatz"/>
        <w:numPr>
          <w:ilvl w:val="0"/>
          <w:numId w:val="9"/>
        </w:numPr>
        <w:rPr>
          <w:rFonts w:ascii="Arial" w:hAnsi="Arial" w:cs="Arial"/>
          <w:lang w:val="fr-CH"/>
        </w:rPr>
      </w:pPr>
      <w:r w:rsidRPr="00EB5835">
        <w:rPr>
          <w:rFonts w:ascii="Arial" w:hAnsi="Arial" w:cs="Arial"/>
          <w:lang w:val="fr-CH"/>
        </w:rPr>
        <w:t xml:space="preserve">Projets de cohabitation </w:t>
      </w:r>
    </w:p>
    <w:p w14:paraId="345C3F45" w14:textId="77777777" w:rsidR="009071CB" w:rsidRDefault="00B437EF" w:rsidP="00EB5835">
      <w:pPr>
        <w:pStyle w:val="Listenabsatz"/>
        <w:numPr>
          <w:ilvl w:val="0"/>
          <w:numId w:val="9"/>
        </w:numPr>
        <w:rPr>
          <w:rFonts w:ascii="Arial" w:hAnsi="Arial" w:cs="Arial"/>
          <w:lang w:val="fr-CH"/>
        </w:rPr>
      </w:pPr>
      <w:r w:rsidRPr="00EB5835">
        <w:rPr>
          <w:rFonts w:ascii="Arial" w:hAnsi="Arial" w:cs="Arial"/>
          <w:lang w:val="fr-CH"/>
        </w:rPr>
        <w:t>Protection et conservation des biens culturels, préservation de tout aspect</w:t>
      </w:r>
    </w:p>
    <w:p w14:paraId="48529E3F" w14:textId="77777777" w:rsidR="009071CB" w:rsidRPr="009071CB" w:rsidRDefault="00B437EF" w:rsidP="00EB5835">
      <w:pPr>
        <w:pStyle w:val="Listenabsatz"/>
        <w:numPr>
          <w:ilvl w:val="0"/>
          <w:numId w:val="9"/>
        </w:numPr>
        <w:rPr>
          <w:rFonts w:ascii="Arial" w:hAnsi="Arial" w:cs="Arial"/>
          <w:lang w:val="fr-CH"/>
        </w:rPr>
      </w:pPr>
      <w:r w:rsidRPr="00EB5835">
        <w:rPr>
          <w:rFonts w:ascii="Arial" w:hAnsi="Arial" w:cs="Arial"/>
          <w:lang w:val="fr-CH"/>
        </w:rPr>
        <w:t xml:space="preserve">Gestion des eaux pluviales </w:t>
      </w:r>
    </w:p>
    <w:p w14:paraId="14DDEB60" w14:textId="6B3E1904" w:rsidR="00B437EF" w:rsidRDefault="00B437EF" w:rsidP="00EB5835">
      <w:pPr>
        <w:pStyle w:val="Listenabsatz"/>
        <w:numPr>
          <w:ilvl w:val="0"/>
          <w:numId w:val="9"/>
        </w:numPr>
        <w:rPr>
          <w:rFonts w:ascii="Arial" w:hAnsi="Arial" w:cs="Arial"/>
          <w:lang w:val="fr-CH"/>
        </w:rPr>
      </w:pPr>
      <w:r w:rsidRPr="00EB5835">
        <w:rPr>
          <w:rFonts w:ascii="Arial" w:hAnsi="Arial" w:cs="Arial"/>
          <w:lang w:val="fr-CH"/>
        </w:rPr>
        <w:t xml:space="preserve">Etc. </w:t>
      </w:r>
    </w:p>
    <w:p w14:paraId="273400AD" w14:textId="62CBDE42" w:rsidR="000A325B" w:rsidRPr="000A325B" w:rsidRDefault="000A325B" w:rsidP="000A325B">
      <w:pPr>
        <w:pStyle w:val="Listenabsatz"/>
        <w:numPr>
          <w:ilvl w:val="0"/>
          <w:numId w:val="7"/>
        </w:numPr>
        <w:rPr>
          <w:rFonts w:ascii="Arial" w:hAnsi="Arial" w:cs="Arial"/>
          <w:lang w:val="fr-CH"/>
        </w:rPr>
      </w:pPr>
      <w:r w:rsidRPr="000A325B">
        <w:rPr>
          <w:rFonts w:ascii="Arial" w:hAnsi="Arial" w:cs="Arial"/>
          <w:lang w:val="fr-CH"/>
        </w:rPr>
        <w:t xml:space="preserve">Par ailleurs, le canton peut générer des fonds supplémentaires sous forme de taxes sur la plus-value, qui permettent de cofinancer des dépenses liées à des objectifs particuliers au niveau communal et cantonal. </w:t>
      </w:r>
    </w:p>
    <w:p w14:paraId="5D055DBA" w14:textId="77777777" w:rsidR="000A325B" w:rsidRPr="000A325B" w:rsidRDefault="000A325B" w:rsidP="000A325B">
      <w:pPr>
        <w:rPr>
          <w:rFonts w:ascii="Arial" w:hAnsi="Arial" w:cs="Arial"/>
          <w:lang w:val="fr-CH"/>
        </w:rPr>
      </w:pPr>
    </w:p>
    <w:p w14:paraId="209B7115" w14:textId="77777777" w:rsidR="00B437EF" w:rsidRPr="00B437EF" w:rsidRDefault="00B437EF" w:rsidP="00B437EF">
      <w:pPr>
        <w:rPr>
          <w:rFonts w:ascii="Arial" w:hAnsi="Arial" w:cs="Arial"/>
          <w:lang w:val="fr-CH"/>
        </w:rPr>
      </w:pPr>
    </w:p>
    <w:p w14:paraId="5B45D38D" w14:textId="77777777" w:rsidR="00B437EF" w:rsidRPr="00B437EF" w:rsidRDefault="00B437EF" w:rsidP="00B437EF">
      <w:pPr>
        <w:rPr>
          <w:rFonts w:ascii="Arial" w:hAnsi="Arial" w:cs="Arial"/>
          <w:lang w:val="fr-CH"/>
        </w:rPr>
      </w:pPr>
    </w:p>
    <w:p w14:paraId="51C9C8A9" w14:textId="77777777" w:rsidR="00B437EF" w:rsidRPr="00B437EF" w:rsidRDefault="00B437EF" w:rsidP="00B437EF">
      <w:pPr>
        <w:rPr>
          <w:rFonts w:ascii="Arial" w:hAnsi="Arial" w:cs="Arial"/>
          <w:lang w:val="fr-CH"/>
        </w:rPr>
      </w:pPr>
    </w:p>
    <w:p w14:paraId="193E3664" w14:textId="77777777" w:rsidR="00F17638" w:rsidRPr="00F17638" w:rsidRDefault="00F17638" w:rsidP="00215838">
      <w:pPr>
        <w:rPr>
          <w:rFonts w:ascii="Arial" w:hAnsi="Arial" w:cs="Arial"/>
          <w:lang w:val="fr-CH"/>
        </w:rPr>
      </w:pPr>
    </w:p>
    <w:p w14:paraId="34D59B07" w14:textId="77777777" w:rsidR="00215838" w:rsidRPr="00F17638" w:rsidRDefault="00215838" w:rsidP="00215838">
      <w:pPr>
        <w:rPr>
          <w:rFonts w:ascii="Arial" w:hAnsi="Arial" w:cs="Arial"/>
          <w:lang w:val="fr-CH"/>
        </w:rPr>
      </w:pPr>
    </w:p>
    <w:p w14:paraId="33A85DF5" w14:textId="77777777" w:rsidR="00F46ECC" w:rsidRPr="00F17638" w:rsidRDefault="00F46ECC" w:rsidP="006851B4">
      <w:pPr>
        <w:rPr>
          <w:rFonts w:ascii="Arial" w:hAnsi="Arial" w:cs="Arial"/>
          <w:lang w:val="fr-CH"/>
        </w:rPr>
      </w:pPr>
    </w:p>
    <w:p w14:paraId="5BC74CE0" w14:textId="77777777" w:rsidR="006851B4" w:rsidRPr="006851B4" w:rsidRDefault="006851B4" w:rsidP="006851B4">
      <w:pPr>
        <w:rPr>
          <w:rFonts w:ascii="Arial" w:hAnsi="Arial" w:cs="Arial"/>
          <w:lang w:val="fr-CH"/>
        </w:rPr>
      </w:pPr>
    </w:p>
    <w:p w14:paraId="1019A127" w14:textId="77777777" w:rsidR="006851B4" w:rsidRPr="00D02A0E" w:rsidRDefault="006851B4" w:rsidP="00D02A0E">
      <w:pPr>
        <w:rPr>
          <w:rFonts w:ascii="Arial" w:hAnsi="Arial" w:cs="Arial"/>
          <w:lang w:val="fr-CH"/>
        </w:rPr>
      </w:pPr>
    </w:p>
    <w:p w14:paraId="66D92BF0" w14:textId="77777777" w:rsidR="001D0B93" w:rsidRPr="00C70644" w:rsidRDefault="001D0B93" w:rsidP="001D0B93">
      <w:pPr>
        <w:rPr>
          <w:rFonts w:ascii="Arial" w:hAnsi="Arial" w:cs="Arial"/>
          <w:lang w:val="fr-CH"/>
        </w:rPr>
      </w:pPr>
    </w:p>
    <w:p w14:paraId="20B47227" w14:textId="77777777" w:rsidR="001D0B93" w:rsidRPr="00C70644" w:rsidRDefault="001D0B93" w:rsidP="001D0B93">
      <w:pPr>
        <w:rPr>
          <w:rFonts w:ascii="Arial" w:hAnsi="Arial" w:cs="Arial"/>
          <w:lang w:val="fr-CH"/>
        </w:rPr>
      </w:pPr>
    </w:p>
    <w:p w14:paraId="278373C9" w14:textId="77777777" w:rsidR="001D0B93" w:rsidRPr="00C70644" w:rsidRDefault="001D0B93" w:rsidP="001D0B93">
      <w:pPr>
        <w:rPr>
          <w:rFonts w:ascii="Arial" w:hAnsi="Arial" w:cs="Arial"/>
          <w:lang w:val="fr-CH"/>
        </w:rPr>
      </w:pPr>
    </w:p>
    <w:p w14:paraId="28FF9986" w14:textId="0B2FDB1F" w:rsidR="001D0B93" w:rsidRPr="00C252E8" w:rsidRDefault="001D0B93" w:rsidP="001D0B93">
      <w:pPr>
        <w:rPr>
          <w:rFonts w:ascii="Arial" w:hAnsi="Arial" w:cs="Arial"/>
          <w:lang w:val="fr-CH"/>
        </w:rPr>
      </w:pPr>
      <w:r w:rsidRPr="00C70644">
        <w:rPr>
          <w:rFonts w:ascii="Arial" w:hAnsi="Arial" w:cs="Arial"/>
          <w:lang w:val="fr-CH"/>
        </w:rPr>
        <w:tab/>
      </w:r>
    </w:p>
    <w:sectPr w:rsidR="001D0B93" w:rsidRPr="00C252E8" w:rsidSect="008839A9">
      <w:pgSz w:w="11906" w:h="16838"/>
      <w:pgMar w:top="851"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0D10"/>
    <w:multiLevelType w:val="hybridMultilevel"/>
    <w:tmpl w:val="ABA0B054"/>
    <w:lvl w:ilvl="0" w:tplc="81484392">
      <w:start w:val="26"/>
      <w:numFmt w:val="bullet"/>
      <w:lvlText w:val="-"/>
      <w:lvlJc w:val="left"/>
      <w:pPr>
        <w:ind w:left="720" w:hanging="360"/>
      </w:pPr>
      <w:rPr>
        <w:rFonts w:ascii="Aptos" w:eastAsiaTheme="minorHAnsi" w:hAnsi="Apto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BBA6745"/>
    <w:multiLevelType w:val="hybridMultilevel"/>
    <w:tmpl w:val="241803D8"/>
    <w:lvl w:ilvl="0" w:tplc="08070003">
      <w:start w:val="1"/>
      <w:numFmt w:val="bullet"/>
      <w:lvlText w:val="o"/>
      <w:lvlJc w:val="left"/>
      <w:pPr>
        <w:ind w:left="1068" w:hanging="360"/>
      </w:pPr>
      <w:rPr>
        <w:rFonts w:ascii="Courier New" w:hAnsi="Courier New" w:cs="Courier New"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2" w15:restartNumberingAfterBreak="0">
    <w:nsid w:val="1CDF4E03"/>
    <w:multiLevelType w:val="hybridMultilevel"/>
    <w:tmpl w:val="ABD0FB34"/>
    <w:lvl w:ilvl="0" w:tplc="CDAE1DA6">
      <w:start w:val="4"/>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0895BEC"/>
    <w:multiLevelType w:val="hybridMultilevel"/>
    <w:tmpl w:val="7F347C44"/>
    <w:lvl w:ilvl="0" w:tplc="08070001">
      <w:start w:val="1"/>
      <w:numFmt w:val="bullet"/>
      <w:lvlText w:val=""/>
      <w:lvlJc w:val="left"/>
      <w:pPr>
        <w:ind w:left="1428" w:hanging="360"/>
      </w:pPr>
      <w:rPr>
        <w:rFonts w:ascii="Symbol" w:hAnsi="Symbol"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4" w15:restartNumberingAfterBreak="0">
    <w:nsid w:val="388512B8"/>
    <w:multiLevelType w:val="hybridMultilevel"/>
    <w:tmpl w:val="8AC067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40FD6395"/>
    <w:multiLevelType w:val="hybridMultilevel"/>
    <w:tmpl w:val="4D5C3006"/>
    <w:lvl w:ilvl="0" w:tplc="81484392">
      <w:start w:val="26"/>
      <w:numFmt w:val="bullet"/>
      <w:lvlText w:val="-"/>
      <w:lvlJc w:val="left"/>
      <w:pPr>
        <w:ind w:left="360" w:hanging="360"/>
      </w:pPr>
      <w:rPr>
        <w:rFonts w:ascii="Aptos" w:eastAsiaTheme="minorHAnsi" w:hAnsi="Aptos" w:cstheme="minorBid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681D6069"/>
    <w:multiLevelType w:val="hybridMultilevel"/>
    <w:tmpl w:val="B13259A6"/>
    <w:lvl w:ilvl="0" w:tplc="81484392">
      <w:start w:val="26"/>
      <w:numFmt w:val="bullet"/>
      <w:lvlText w:val="-"/>
      <w:lvlJc w:val="left"/>
      <w:pPr>
        <w:ind w:left="360" w:hanging="360"/>
      </w:pPr>
      <w:rPr>
        <w:rFonts w:ascii="Aptos" w:eastAsiaTheme="minorHAnsi" w:hAnsi="Aptos" w:cstheme="minorBid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687353FF"/>
    <w:multiLevelType w:val="hybridMultilevel"/>
    <w:tmpl w:val="5D20F31E"/>
    <w:lvl w:ilvl="0" w:tplc="6382E9BC">
      <w:numFmt w:val="bullet"/>
      <w:lvlText w:val=""/>
      <w:lvlJc w:val="left"/>
      <w:pPr>
        <w:ind w:left="720" w:hanging="360"/>
      </w:pPr>
      <w:rPr>
        <w:rFonts w:ascii="Symbol" w:eastAsiaTheme="minorHAnsi" w:hAnsi="Symbol"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7B720DFD"/>
    <w:multiLevelType w:val="hybridMultilevel"/>
    <w:tmpl w:val="A248322C"/>
    <w:lvl w:ilvl="0" w:tplc="08070001">
      <w:start w:val="1"/>
      <w:numFmt w:val="bullet"/>
      <w:lvlText w:val=""/>
      <w:lvlJc w:val="left"/>
      <w:pPr>
        <w:ind w:left="1428" w:hanging="360"/>
      </w:pPr>
      <w:rPr>
        <w:rFonts w:ascii="Symbol" w:hAnsi="Symbol"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num w:numId="1" w16cid:durableId="1291476426">
    <w:abstractNumId w:val="2"/>
  </w:num>
  <w:num w:numId="2" w16cid:durableId="160027">
    <w:abstractNumId w:val="6"/>
  </w:num>
  <w:num w:numId="3" w16cid:durableId="101580854">
    <w:abstractNumId w:val="4"/>
  </w:num>
  <w:num w:numId="4" w16cid:durableId="1286161553">
    <w:abstractNumId w:val="7"/>
  </w:num>
  <w:num w:numId="5" w16cid:durableId="1630470825">
    <w:abstractNumId w:val="5"/>
  </w:num>
  <w:num w:numId="6" w16cid:durableId="235017533">
    <w:abstractNumId w:val="0"/>
  </w:num>
  <w:num w:numId="7" w16cid:durableId="1385987881">
    <w:abstractNumId w:val="1"/>
  </w:num>
  <w:num w:numId="8" w16cid:durableId="1555307819">
    <w:abstractNumId w:val="3"/>
  </w:num>
  <w:num w:numId="9" w16cid:durableId="8620136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B93"/>
    <w:rsid w:val="00021110"/>
    <w:rsid w:val="00032B66"/>
    <w:rsid w:val="000A325B"/>
    <w:rsid w:val="00194A36"/>
    <w:rsid w:val="001C448E"/>
    <w:rsid w:val="001D0B93"/>
    <w:rsid w:val="001D6A90"/>
    <w:rsid w:val="00215838"/>
    <w:rsid w:val="00242A62"/>
    <w:rsid w:val="00371E8C"/>
    <w:rsid w:val="003F0BA5"/>
    <w:rsid w:val="00423390"/>
    <w:rsid w:val="004A0D16"/>
    <w:rsid w:val="004F29A4"/>
    <w:rsid w:val="005B31EF"/>
    <w:rsid w:val="006851B4"/>
    <w:rsid w:val="006C210D"/>
    <w:rsid w:val="006E4199"/>
    <w:rsid w:val="007360B8"/>
    <w:rsid w:val="00766111"/>
    <w:rsid w:val="007F2D46"/>
    <w:rsid w:val="008839A9"/>
    <w:rsid w:val="008A2774"/>
    <w:rsid w:val="008C3762"/>
    <w:rsid w:val="009071CB"/>
    <w:rsid w:val="00A2330F"/>
    <w:rsid w:val="00A55C73"/>
    <w:rsid w:val="00B437EF"/>
    <w:rsid w:val="00BB0E77"/>
    <w:rsid w:val="00C252E8"/>
    <w:rsid w:val="00C70644"/>
    <w:rsid w:val="00CA312D"/>
    <w:rsid w:val="00CC7899"/>
    <w:rsid w:val="00D02A0E"/>
    <w:rsid w:val="00D175A3"/>
    <w:rsid w:val="00D65D2A"/>
    <w:rsid w:val="00E44581"/>
    <w:rsid w:val="00E61004"/>
    <w:rsid w:val="00E73B24"/>
    <w:rsid w:val="00EB5835"/>
    <w:rsid w:val="00F15FA4"/>
    <w:rsid w:val="00F17638"/>
    <w:rsid w:val="00F46EC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0233A"/>
  <w15:chartTrackingRefBased/>
  <w15:docId w15:val="{D03C5743-21DD-40BC-9FE8-33F29904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D0B93"/>
  </w:style>
  <w:style w:type="paragraph" w:styleId="berschrift1">
    <w:name w:val="heading 1"/>
    <w:basedOn w:val="Standard"/>
    <w:next w:val="Standard"/>
    <w:link w:val="berschrift1Zchn"/>
    <w:uiPriority w:val="9"/>
    <w:qFormat/>
    <w:rsid w:val="001D0B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1D0B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1D0B93"/>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1D0B93"/>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1D0B93"/>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1D0B9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D0B9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D0B9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D0B9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D0B93"/>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1D0B93"/>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1D0B93"/>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1D0B93"/>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1D0B93"/>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1D0B9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D0B9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D0B9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D0B93"/>
    <w:rPr>
      <w:rFonts w:eastAsiaTheme="majorEastAsia" w:cstheme="majorBidi"/>
      <w:color w:val="272727" w:themeColor="text1" w:themeTint="D8"/>
    </w:rPr>
  </w:style>
  <w:style w:type="paragraph" w:styleId="Titel">
    <w:name w:val="Title"/>
    <w:basedOn w:val="Standard"/>
    <w:next w:val="Standard"/>
    <w:link w:val="TitelZchn"/>
    <w:uiPriority w:val="10"/>
    <w:qFormat/>
    <w:rsid w:val="001D0B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D0B9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D0B9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D0B9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D0B9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D0B93"/>
    <w:rPr>
      <w:i/>
      <w:iCs/>
      <w:color w:val="404040" w:themeColor="text1" w:themeTint="BF"/>
    </w:rPr>
  </w:style>
  <w:style w:type="paragraph" w:styleId="Listenabsatz">
    <w:name w:val="List Paragraph"/>
    <w:basedOn w:val="Standard"/>
    <w:uiPriority w:val="34"/>
    <w:qFormat/>
    <w:rsid w:val="001D0B93"/>
    <w:pPr>
      <w:ind w:left="720"/>
      <w:contextualSpacing/>
    </w:pPr>
  </w:style>
  <w:style w:type="character" w:styleId="IntensiveHervorhebung">
    <w:name w:val="Intense Emphasis"/>
    <w:basedOn w:val="Absatz-Standardschriftart"/>
    <w:uiPriority w:val="21"/>
    <w:qFormat/>
    <w:rsid w:val="001D0B93"/>
    <w:rPr>
      <w:i/>
      <w:iCs/>
      <w:color w:val="2F5496" w:themeColor="accent1" w:themeShade="BF"/>
    </w:rPr>
  </w:style>
  <w:style w:type="paragraph" w:styleId="IntensivesZitat">
    <w:name w:val="Intense Quote"/>
    <w:basedOn w:val="Standard"/>
    <w:next w:val="Standard"/>
    <w:link w:val="IntensivesZitatZchn"/>
    <w:uiPriority w:val="30"/>
    <w:qFormat/>
    <w:rsid w:val="001D0B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1D0B93"/>
    <w:rPr>
      <w:i/>
      <w:iCs/>
      <w:color w:val="2F5496" w:themeColor="accent1" w:themeShade="BF"/>
    </w:rPr>
  </w:style>
  <w:style w:type="character" w:styleId="IntensiverVerweis">
    <w:name w:val="Intense Reference"/>
    <w:basedOn w:val="Absatz-Standardschriftart"/>
    <w:uiPriority w:val="32"/>
    <w:qFormat/>
    <w:rsid w:val="001D0B93"/>
    <w:rPr>
      <w:b/>
      <w:bCs/>
      <w:smallCaps/>
      <w:color w:val="2F5496" w:themeColor="accent1" w:themeShade="BF"/>
      <w:spacing w:val="5"/>
    </w:rPr>
  </w:style>
  <w:style w:type="paragraph" w:styleId="KeinLeerraum">
    <w:name w:val="No Spacing"/>
    <w:uiPriority w:val="1"/>
    <w:qFormat/>
    <w:rsid w:val="00C252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5719</Characters>
  <Application>Microsoft Office Word</Application>
  <DocSecurity>4</DocSecurity>
  <Lines>47</Lines>
  <Paragraphs>13</Paragraphs>
  <ScaleCrop>false</ScaleCrop>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Walter</dc:creator>
  <cp:keywords/>
  <dc:description/>
  <cp:lastModifiedBy>Ruth Walter</cp:lastModifiedBy>
  <cp:revision>2</cp:revision>
  <dcterms:created xsi:type="dcterms:W3CDTF">2025-09-30T21:52:00Z</dcterms:created>
  <dcterms:modified xsi:type="dcterms:W3CDTF">2025-09-30T21:52:00Z</dcterms:modified>
</cp:coreProperties>
</file>