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5D1D" w14:textId="1B205F57" w:rsidR="00EF6E5B" w:rsidRPr="00935D32" w:rsidRDefault="001E5A80" w:rsidP="007B1393">
      <w:pPr>
        <w:jc w:val="right"/>
        <w:rPr>
          <w:rFonts w:ascii="Arial" w:hAnsi="Arial" w:cs="Arial"/>
        </w:rPr>
      </w:pPr>
      <w:r w:rsidRPr="00935D32">
        <w:rPr>
          <w:rFonts w:ascii="Arial" w:hAnsi="Arial" w:cs="Arial"/>
          <w:noProof/>
          <w:lang w:eastAsia="de-CH"/>
          <w14:ligatures w14:val="none"/>
        </w:rPr>
        <w:drawing>
          <wp:anchor distT="0" distB="0" distL="114300" distR="114300" simplePos="0" relativeHeight="251659264" behindDoc="1" locked="0" layoutInCell="1" allowOverlap="1" wp14:anchorId="40FA985B" wp14:editId="3D6A1B23">
            <wp:simplePos x="0" y="0"/>
            <wp:positionH relativeFrom="column">
              <wp:posOffset>-303530</wp:posOffset>
            </wp:positionH>
            <wp:positionV relativeFrom="paragraph">
              <wp:posOffset>0</wp:posOffset>
            </wp:positionV>
            <wp:extent cx="2158365" cy="834390"/>
            <wp:effectExtent l="0" t="0" r="0" b="3810"/>
            <wp:wrapTight wrapText="bothSides">
              <wp:wrapPolygon edited="0">
                <wp:start x="0" y="0"/>
                <wp:lineTo x="0" y="21205"/>
                <wp:lineTo x="21352" y="21205"/>
                <wp:lineTo x="21352" y="0"/>
                <wp:lineTo x="0" y="0"/>
              </wp:wrapPolygon>
            </wp:wrapTight>
            <wp:docPr id="1746649136" name="Grafik 1" descr="Ein Bild, das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49136" name="Grafik 1" descr="Ein Bild, das Schrift, Design enthält.&#10;&#10;Automatisch generierte Beschreibu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58365" cy="834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1393">
        <w:rPr>
          <w:rFonts w:ascii="Arial" w:hAnsi="Arial" w:cs="Arial"/>
        </w:rPr>
        <w:tab/>
      </w:r>
      <w:r w:rsidR="007B1393">
        <w:rPr>
          <w:rFonts w:ascii="Arial" w:hAnsi="Arial" w:cs="Arial"/>
        </w:rPr>
        <w:tab/>
      </w:r>
      <w:r w:rsidR="007B1393">
        <w:rPr>
          <w:rFonts w:ascii="Arial" w:hAnsi="Arial" w:cs="Arial"/>
        </w:rPr>
        <w:tab/>
      </w:r>
      <w:r w:rsidR="007B1393">
        <w:rPr>
          <w:rFonts w:ascii="Arial" w:hAnsi="Arial" w:cs="Arial"/>
        </w:rPr>
        <w:tab/>
      </w:r>
      <w:bookmarkStart w:id="0" w:name="_Hlk208169861"/>
      <w:proofErr w:type="spellStart"/>
      <w:r w:rsidR="007B1393">
        <w:rPr>
          <w:rFonts w:ascii="Arial" w:hAnsi="Arial" w:cs="Arial"/>
        </w:rPr>
        <w:t>Villaret</w:t>
      </w:r>
      <w:proofErr w:type="spellEnd"/>
      <w:r w:rsidR="007B1393">
        <w:rPr>
          <w:rFonts w:ascii="Arial" w:hAnsi="Arial" w:cs="Arial"/>
        </w:rPr>
        <w:t>, 09.2025 F/W</w:t>
      </w:r>
    </w:p>
    <w:p w14:paraId="60FF0FF8" w14:textId="07CE9C95" w:rsidR="009B7698" w:rsidRDefault="009B7698" w:rsidP="00A03C8D">
      <w:pPr>
        <w:rPr>
          <w:rFonts w:ascii="Book Antiqua" w:hAnsi="Book Antiqua" w:cs="Arial"/>
          <w:sz w:val="28"/>
          <w:szCs w:val="28"/>
        </w:rPr>
      </w:pPr>
    </w:p>
    <w:bookmarkEnd w:id="0"/>
    <w:p w14:paraId="7900F644" w14:textId="77777777" w:rsidR="007B1393" w:rsidRPr="00935D32" w:rsidRDefault="007B1393" w:rsidP="00A03C8D">
      <w:pPr>
        <w:rPr>
          <w:rFonts w:ascii="Arial" w:hAnsi="Arial" w:cs="Arial"/>
          <w:sz w:val="24"/>
          <w:szCs w:val="24"/>
        </w:rPr>
      </w:pPr>
    </w:p>
    <w:p w14:paraId="11968EAA" w14:textId="1146042C" w:rsidR="002F10D1" w:rsidRPr="00935D32" w:rsidRDefault="002F10D1" w:rsidP="00A03C8D">
      <w:pPr>
        <w:rPr>
          <w:rFonts w:ascii="Arial" w:hAnsi="Arial" w:cs="Arial"/>
          <w:sz w:val="24"/>
          <w:szCs w:val="24"/>
        </w:rPr>
      </w:pPr>
    </w:p>
    <w:p w14:paraId="38E77DD6" w14:textId="2FDC68AD" w:rsidR="002F10D1" w:rsidRPr="00935D32" w:rsidRDefault="009E425D" w:rsidP="00DC70F2">
      <w:pPr>
        <w:ind w:left="708"/>
        <w:rPr>
          <w:rFonts w:ascii="Arial" w:hAnsi="Arial" w:cs="Arial"/>
          <w:b/>
          <w:bCs/>
          <w:sz w:val="40"/>
          <w:szCs w:val="40"/>
        </w:rPr>
      </w:pPr>
      <w:r w:rsidRPr="00935D32">
        <w:rPr>
          <w:rFonts w:ascii="Arial" w:hAnsi="Arial" w:cs="Arial"/>
          <w:b/>
          <w:bCs/>
          <w:sz w:val="40"/>
          <w:szCs w:val="40"/>
        </w:rPr>
        <w:t xml:space="preserve">3) </w:t>
      </w:r>
      <w:r w:rsidR="002F10D1" w:rsidRPr="00935D32">
        <w:rPr>
          <w:rFonts w:ascii="Arial" w:hAnsi="Arial" w:cs="Arial"/>
          <w:b/>
          <w:bCs/>
          <w:sz w:val="40"/>
          <w:szCs w:val="40"/>
        </w:rPr>
        <w:t>Argumentarium der IG FR</w:t>
      </w:r>
      <w:r w:rsidR="007B1393">
        <w:rPr>
          <w:rFonts w:ascii="Arial" w:hAnsi="Arial" w:cs="Arial"/>
          <w:b/>
          <w:bCs/>
          <w:sz w:val="40"/>
          <w:szCs w:val="40"/>
        </w:rPr>
        <w:t xml:space="preserve"> </w:t>
      </w:r>
      <w:r w:rsidR="002F10D1" w:rsidRPr="00935D32">
        <w:rPr>
          <w:rFonts w:ascii="Arial" w:hAnsi="Arial" w:cs="Arial"/>
          <w:b/>
          <w:bCs/>
          <w:sz w:val="40"/>
          <w:szCs w:val="40"/>
        </w:rPr>
        <w:t>– SBSN</w:t>
      </w:r>
    </w:p>
    <w:p w14:paraId="18377EE7" w14:textId="77777777" w:rsidR="008167AE" w:rsidRPr="00935D32" w:rsidRDefault="008167AE" w:rsidP="008167AE">
      <w:pPr>
        <w:rPr>
          <w:rFonts w:ascii="Arial" w:hAnsi="Arial" w:cs="Arial"/>
          <w:b/>
          <w:bCs/>
          <w:sz w:val="24"/>
          <w:szCs w:val="24"/>
        </w:rPr>
      </w:pPr>
    </w:p>
    <w:p w14:paraId="4F61093C" w14:textId="49D121E2" w:rsidR="00935D32" w:rsidRPr="00935D32" w:rsidRDefault="008167AE" w:rsidP="00F5001E">
      <w:pPr>
        <w:rPr>
          <w:rFonts w:ascii="Arial" w:hAnsi="Arial" w:cs="Arial"/>
          <w:b/>
          <w:bCs/>
          <w:sz w:val="24"/>
          <w:szCs w:val="24"/>
        </w:rPr>
      </w:pPr>
      <w:r w:rsidRPr="00935D32">
        <w:rPr>
          <w:rFonts w:ascii="Arial" w:hAnsi="Arial" w:cs="Arial"/>
          <w:b/>
          <w:bCs/>
          <w:sz w:val="24"/>
          <w:szCs w:val="24"/>
        </w:rPr>
        <w:t>Was wir wollen</w:t>
      </w:r>
    </w:p>
    <w:p w14:paraId="091D0CD5" w14:textId="5394A062" w:rsidR="00F5001E" w:rsidRPr="00DC70F2" w:rsidRDefault="00935D32" w:rsidP="00E17C49">
      <w:pPr>
        <w:pStyle w:val="Listenabsatz"/>
        <w:numPr>
          <w:ilvl w:val="0"/>
          <w:numId w:val="16"/>
        </w:numPr>
        <w:spacing w:after="120"/>
        <w:rPr>
          <w:rFonts w:ascii="Arial" w:hAnsi="Arial" w:cs="Arial"/>
          <w:b/>
          <w:bCs/>
          <w:sz w:val="24"/>
          <w:szCs w:val="24"/>
        </w:rPr>
      </w:pPr>
      <w:r w:rsidRPr="00935D32">
        <w:rPr>
          <w:rFonts w:ascii="Arial" w:hAnsi="Arial" w:cs="Arial"/>
          <w:sz w:val="24"/>
          <w:szCs w:val="24"/>
        </w:rPr>
        <w:t xml:space="preserve">Wir sind im Einklang mit den übergeordneten Zielen der Raumplanung und des Landschaftsschutzes. Eine Umsetzung unserer Vorschläge hat keinerlei Auswirkungen auf zusätzliches Gebäudevolumen (es werden lediglich bereits vorhandene Kubaturen in nicht-mehr-genutzten Ökonomieteilen ausgebaut) und der Anteil versiegelter Flächen bleibt konstant. Wir sind nicht nur kongruent mit den übergeordneten Zielen, z. B. Trennungsgrundsatz, sondern unterstützen diese explizit. </w:t>
      </w:r>
    </w:p>
    <w:p w14:paraId="539E78B6" w14:textId="6C85E233" w:rsidR="00F5001E" w:rsidRPr="00935D32" w:rsidRDefault="002F10D1" w:rsidP="00935D32">
      <w:pPr>
        <w:pStyle w:val="Listenabsatz"/>
        <w:numPr>
          <w:ilvl w:val="0"/>
          <w:numId w:val="16"/>
        </w:numPr>
        <w:rPr>
          <w:rFonts w:ascii="Arial" w:hAnsi="Arial" w:cs="Arial"/>
          <w:sz w:val="24"/>
          <w:szCs w:val="24"/>
        </w:rPr>
      </w:pPr>
      <w:r w:rsidRPr="00935D32">
        <w:rPr>
          <w:rFonts w:ascii="Arial" w:hAnsi="Arial" w:cs="Arial"/>
          <w:sz w:val="24"/>
          <w:szCs w:val="24"/>
        </w:rPr>
        <w:t xml:space="preserve">Wir leisten mit unseren Forderungen einen konstruktiven Beitrag zu einer sinnvollen Umsetzung der Raumplanungsverordnung II (RPV II) im Kanton Freiburg. </w:t>
      </w:r>
      <w:r w:rsidR="00170685" w:rsidRPr="00935D32">
        <w:rPr>
          <w:rFonts w:ascii="Arial" w:hAnsi="Arial" w:cs="Arial"/>
          <w:sz w:val="24"/>
          <w:szCs w:val="24"/>
        </w:rPr>
        <w:t>Dabei begrüssen wir insbesondere die Bereitschaft des Staatsrats unsere Anliegen in den politischen Umsetzungsprozess einbringen zu können.</w:t>
      </w:r>
    </w:p>
    <w:p w14:paraId="2684809D" w14:textId="6743B729" w:rsidR="00F5001E" w:rsidRPr="00935D32" w:rsidRDefault="008167AE" w:rsidP="00935D32">
      <w:pPr>
        <w:pStyle w:val="Listenabsatz"/>
        <w:numPr>
          <w:ilvl w:val="0"/>
          <w:numId w:val="16"/>
        </w:numPr>
        <w:rPr>
          <w:rFonts w:ascii="Arial" w:hAnsi="Arial" w:cs="Arial"/>
          <w:sz w:val="24"/>
          <w:szCs w:val="24"/>
        </w:rPr>
      </w:pPr>
      <w:r w:rsidRPr="00935D32">
        <w:rPr>
          <w:rFonts w:ascii="Arial" w:hAnsi="Arial" w:cs="Arial"/>
          <w:sz w:val="24"/>
          <w:szCs w:val="24"/>
        </w:rPr>
        <w:t xml:space="preserve">Der Kanton Freiburg soll die Umsetzung RPV II bezüglich Art. 24 c RPG im gesamten Kantonsgebiet in Form eines einheitlichen Gebietsansatzes ermöglichen. Soweit es innerhalb der Bundesnormen zulässig ist, soll innerhalb einer Gebäudehülle bei altrechtlichen ehemaligen Landwirtschaftsbetrieben ein möglichst weitgehender Ausbau von Ökonomieflächen in Wohnflächen ermöglicht werden. Die neu entstandenen Wohnflächen sind als Erstwohnung zu nutzen. Die Erstellung von zusätzlichen Wohneinheiten ist nur dann zulässig, wenn dadurch keine nachteiligen Auswirkungen auf Raum und Umwelt entstehen. </w:t>
      </w:r>
    </w:p>
    <w:p w14:paraId="1E7FC250" w14:textId="074E0AC5" w:rsidR="008167AE" w:rsidRPr="00935D32" w:rsidRDefault="008167AE" w:rsidP="008167AE">
      <w:pPr>
        <w:pStyle w:val="Listenabsatz"/>
        <w:numPr>
          <w:ilvl w:val="0"/>
          <w:numId w:val="16"/>
        </w:numPr>
        <w:rPr>
          <w:rFonts w:ascii="Arial" w:hAnsi="Arial" w:cs="Arial"/>
          <w:sz w:val="24"/>
          <w:szCs w:val="24"/>
        </w:rPr>
      </w:pPr>
      <w:r w:rsidRPr="00935D32">
        <w:rPr>
          <w:rFonts w:ascii="Arial" w:hAnsi="Arial" w:cs="Arial"/>
          <w:sz w:val="24"/>
          <w:szCs w:val="24"/>
        </w:rPr>
        <w:t xml:space="preserve">Um im Einklang mit den übergeordneten Zielen </w:t>
      </w:r>
      <w:r w:rsidR="00AF113B" w:rsidRPr="00935D32">
        <w:rPr>
          <w:rFonts w:ascii="Arial" w:hAnsi="Arial" w:cs="Arial"/>
          <w:sz w:val="24"/>
          <w:szCs w:val="24"/>
        </w:rPr>
        <w:t xml:space="preserve">der Raumplanung und des Landschaftsschutzes </w:t>
      </w:r>
      <w:r w:rsidRPr="00935D32">
        <w:rPr>
          <w:rFonts w:ascii="Arial" w:hAnsi="Arial" w:cs="Arial"/>
          <w:sz w:val="24"/>
          <w:szCs w:val="24"/>
        </w:rPr>
        <w:t>zu bleiben, grenzen wir die Anzahl der in Betracht kommenden Gebäudehüllen für einen Vollausbau zu Wohnzwe</w:t>
      </w:r>
      <w:r w:rsidR="00AF113B" w:rsidRPr="00935D32">
        <w:rPr>
          <w:rFonts w:ascii="Arial" w:hAnsi="Arial" w:cs="Arial"/>
          <w:sz w:val="24"/>
          <w:szCs w:val="24"/>
        </w:rPr>
        <w:t>cken</w:t>
      </w:r>
      <w:r w:rsidRPr="00935D32">
        <w:rPr>
          <w:rFonts w:ascii="Arial" w:hAnsi="Arial" w:cs="Arial"/>
          <w:sz w:val="24"/>
          <w:szCs w:val="24"/>
        </w:rPr>
        <w:t xml:space="preserve"> grösstmöglich ein und formulieren folgende Kriterien:</w:t>
      </w:r>
    </w:p>
    <w:p w14:paraId="264E3D6C" w14:textId="77777777" w:rsidR="008167AE" w:rsidRPr="00935D32" w:rsidRDefault="008167AE" w:rsidP="008167AE">
      <w:pPr>
        <w:pStyle w:val="Listenabsatz"/>
        <w:numPr>
          <w:ilvl w:val="1"/>
          <w:numId w:val="16"/>
        </w:numPr>
        <w:rPr>
          <w:rFonts w:ascii="Arial" w:hAnsi="Arial" w:cs="Arial"/>
          <w:sz w:val="24"/>
          <w:szCs w:val="24"/>
        </w:rPr>
      </w:pPr>
      <w:r w:rsidRPr="00935D32">
        <w:rPr>
          <w:rFonts w:ascii="Arial" w:hAnsi="Arial" w:cs="Arial"/>
          <w:sz w:val="24"/>
          <w:szCs w:val="24"/>
        </w:rPr>
        <w:t>Altrechtlich erbaute ehemalige Bauernhöfe (vor 1972 gebaut).</w:t>
      </w:r>
    </w:p>
    <w:p w14:paraId="22972137" w14:textId="77777777" w:rsidR="008167AE" w:rsidRPr="00935D32" w:rsidRDefault="008167AE" w:rsidP="008167AE">
      <w:pPr>
        <w:pStyle w:val="Listenabsatz"/>
        <w:numPr>
          <w:ilvl w:val="1"/>
          <w:numId w:val="16"/>
        </w:numPr>
        <w:rPr>
          <w:rFonts w:ascii="Arial" w:hAnsi="Arial" w:cs="Arial"/>
          <w:sz w:val="24"/>
          <w:szCs w:val="24"/>
        </w:rPr>
      </w:pPr>
      <w:r w:rsidRPr="00935D32">
        <w:rPr>
          <w:rFonts w:ascii="Arial" w:hAnsi="Arial" w:cs="Arial"/>
          <w:sz w:val="24"/>
          <w:szCs w:val="24"/>
        </w:rPr>
        <w:t>Nicht mehr aktiv genutzt (d. h. keine Betriebsnummer mehr)</w:t>
      </w:r>
    </w:p>
    <w:p w14:paraId="1AE211AD" w14:textId="77777777" w:rsidR="008167AE" w:rsidRPr="00935D32" w:rsidRDefault="008167AE" w:rsidP="008167AE">
      <w:pPr>
        <w:pStyle w:val="Listenabsatz"/>
        <w:numPr>
          <w:ilvl w:val="1"/>
          <w:numId w:val="16"/>
        </w:numPr>
        <w:rPr>
          <w:rFonts w:ascii="Arial" w:hAnsi="Arial" w:cs="Arial"/>
          <w:sz w:val="24"/>
          <w:szCs w:val="24"/>
        </w:rPr>
      </w:pPr>
      <w:r w:rsidRPr="00935D32">
        <w:rPr>
          <w:rFonts w:ascii="Arial" w:hAnsi="Arial" w:cs="Arial"/>
          <w:sz w:val="24"/>
          <w:szCs w:val="24"/>
        </w:rPr>
        <w:t>Ökonomie- und Wohnteil sind in einer zusammenhängenden Gebäudehülle. Im Umkehrschluss: unser Anliegen betrifft keine isolierten, alleinstehenden Ökonomiegebäude.</w:t>
      </w:r>
    </w:p>
    <w:p w14:paraId="6AF7A808" w14:textId="6B601A70" w:rsidR="00F5001E" w:rsidRPr="00E17C49" w:rsidRDefault="008167AE" w:rsidP="00013975">
      <w:pPr>
        <w:pStyle w:val="Listenabsatz"/>
        <w:numPr>
          <w:ilvl w:val="1"/>
          <w:numId w:val="16"/>
        </w:numPr>
        <w:rPr>
          <w:rFonts w:ascii="Arial" w:hAnsi="Arial" w:cs="Arial"/>
          <w:sz w:val="24"/>
          <w:szCs w:val="24"/>
        </w:rPr>
      </w:pPr>
      <w:r w:rsidRPr="00935D32">
        <w:rPr>
          <w:rFonts w:ascii="Arial" w:hAnsi="Arial" w:cs="Arial"/>
          <w:sz w:val="24"/>
          <w:szCs w:val="24"/>
        </w:rPr>
        <w:t xml:space="preserve">Die ehemaligen Bauernhöfe müssen seit der Betriebsaufgabe ständig bewohnt gewesen sein. </w:t>
      </w:r>
    </w:p>
    <w:p w14:paraId="64664F07" w14:textId="629EB428" w:rsidR="00F5001E" w:rsidRPr="00DC70F2" w:rsidRDefault="00013975" w:rsidP="00DC70F2">
      <w:pPr>
        <w:pStyle w:val="Listenabsatz"/>
        <w:numPr>
          <w:ilvl w:val="0"/>
          <w:numId w:val="16"/>
        </w:numPr>
        <w:rPr>
          <w:rFonts w:ascii="Arial" w:hAnsi="Arial" w:cs="Arial"/>
          <w:sz w:val="24"/>
          <w:szCs w:val="24"/>
        </w:rPr>
      </w:pPr>
      <w:r w:rsidRPr="00935D32">
        <w:rPr>
          <w:rFonts w:ascii="Arial" w:hAnsi="Arial" w:cs="Arial"/>
          <w:sz w:val="24"/>
          <w:szCs w:val="24"/>
        </w:rPr>
        <w:t xml:space="preserve">Durch diese restriktive Eingrenzung der in Frage kommenden Objekte sind einem ausufernden und lukrativen Ausbau enge Grenzen gesetzt. Eine Umsetzung dürfte für die Eigner knapp kostendeckend sein. </w:t>
      </w:r>
    </w:p>
    <w:p w14:paraId="0649062C" w14:textId="77777777" w:rsidR="00E17C49" w:rsidRDefault="00E17C49" w:rsidP="00A03C8D">
      <w:pPr>
        <w:rPr>
          <w:rFonts w:ascii="Arial" w:hAnsi="Arial" w:cs="Arial"/>
          <w:b/>
          <w:bCs/>
          <w:sz w:val="24"/>
          <w:szCs w:val="24"/>
        </w:rPr>
      </w:pPr>
    </w:p>
    <w:p w14:paraId="6B87749B" w14:textId="60E32D2D" w:rsidR="002F10D1" w:rsidRPr="00DC70F2" w:rsidRDefault="00226835" w:rsidP="00A03C8D">
      <w:pPr>
        <w:rPr>
          <w:rFonts w:ascii="Arial" w:hAnsi="Arial" w:cs="Arial"/>
          <w:b/>
          <w:bCs/>
          <w:sz w:val="24"/>
          <w:szCs w:val="24"/>
        </w:rPr>
      </w:pPr>
      <w:r w:rsidRPr="00935D32">
        <w:rPr>
          <w:rFonts w:ascii="Arial" w:hAnsi="Arial" w:cs="Arial"/>
          <w:b/>
          <w:bCs/>
          <w:sz w:val="24"/>
          <w:szCs w:val="24"/>
        </w:rPr>
        <w:lastRenderedPageBreak/>
        <w:t>Herausforderungen des Kantons</w:t>
      </w:r>
    </w:p>
    <w:p w14:paraId="2DC70EA8" w14:textId="5663EA80" w:rsidR="00616FE9" w:rsidRPr="00935D32" w:rsidRDefault="002F10D1" w:rsidP="00616FE9">
      <w:pPr>
        <w:rPr>
          <w:rFonts w:ascii="Arial" w:hAnsi="Arial" w:cs="Arial"/>
          <w:sz w:val="24"/>
          <w:szCs w:val="24"/>
        </w:rPr>
      </w:pPr>
      <w:r w:rsidRPr="00935D32">
        <w:rPr>
          <w:rFonts w:ascii="Arial" w:hAnsi="Arial" w:cs="Arial"/>
          <w:sz w:val="24"/>
          <w:szCs w:val="24"/>
        </w:rPr>
        <w:t>Die kantonale Politik steht vor der anspruchsvollen Aufgabe innerhalb von fünf Jahren nach Inkrafttreten</w:t>
      </w:r>
      <w:r w:rsidR="00CE1707" w:rsidRPr="00935D32">
        <w:rPr>
          <w:rFonts w:ascii="Arial" w:hAnsi="Arial" w:cs="Arial"/>
          <w:sz w:val="24"/>
          <w:szCs w:val="24"/>
        </w:rPr>
        <w:t xml:space="preserve"> des RPG2, die</w:t>
      </w:r>
      <w:r w:rsidRPr="00935D32">
        <w:rPr>
          <w:rFonts w:ascii="Arial" w:hAnsi="Arial" w:cs="Arial"/>
          <w:sz w:val="24"/>
          <w:szCs w:val="24"/>
        </w:rPr>
        <w:t xml:space="preserve"> RPV II fristgerecht zu implementieren. Es ist zu erwarten, dass </w:t>
      </w:r>
      <w:r w:rsidR="00AD022C" w:rsidRPr="00935D32">
        <w:rPr>
          <w:rFonts w:ascii="Arial" w:hAnsi="Arial" w:cs="Arial"/>
          <w:sz w:val="24"/>
          <w:szCs w:val="24"/>
        </w:rPr>
        <w:t xml:space="preserve">die definitive Fassung </w:t>
      </w:r>
      <w:r w:rsidR="00CE1707" w:rsidRPr="00935D32">
        <w:rPr>
          <w:rFonts w:ascii="Arial" w:hAnsi="Arial" w:cs="Arial"/>
          <w:sz w:val="24"/>
          <w:szCs w:val="24"/>
        </w:rPr>
        <w:t xml:space="preserve">von </w:t>
      </w:r>
      <w:r w:rsidR="00AD022C" w:rsidRPr="00935D32">
        <w:rPr>
          <w:rFonts w:ascii="Arial" w:hAnsi="Arial" w:cs="Arial"/>
          <w:sz w:val="24"/>
          <w:szCs w:val="24"/>
        </w:rPr>
        <w:t xml:space="preserve">RPV </w:t>
      </w:r>
      <w:r w:rsidR="00CE1707" w:rsidRPr="00935D32">
        <w:rPr>
          <w:rFonts w:ascii="Arial" w:hAnsi="Arial" w:cs="Arial"/>
          <w:sz w:val="24"/>
          <w:szCs w:val="24"/>
        </w:rPr>
        <w:t xml:space="preserve">II </w:t>
      </w:r>
      <w:r w:rsidR="00AD022C" w:rsidRPr="00935D32">
        <w:rPr>
          <w:rFonts w:ascii="Arial" w:hAnsi="Arial" w:cs="Arial"/>
          <w:sz w:val="24"/>
          <w:szCs w:val="24"/>
        </w:rPr>
        <w:t xml:space="preserve">zahlreiche Interpretationsspielräume offenlässt, welche der Kanton jeweils </w:t>
      </w:r>
      <w:r w:rsidR="00616FE9" w:rsidRPr="00935D32">
        <w:rPr>
          <w:rFonts w:ascii="Arial" w:hAnsi="Arial" w:cs="Arial"/>
          <w:sz w:val="24"/>
          <w:szCs w:val="24"/>
        </w:rPr>
        <w:t>im Hinblick auf</w:t>
      </w:r>
      <w:r w:rsidR="00AD022C" w:rsidRPr="00935D32">
        <w:rPr>
          <w:rFonts w:ascii="Arial" w:hAnsi="Arial" w:cs="Arial"/>
          <w:sz w:val="24"/>
          <w:szCs w:val="24"/>
        </w:rPr>
        <w:t xml:space="preserve"> seine spezifischen Bedürfnisse auslegen kann. </w:t>
      </w:r>
    </w:p>
    <w:p w14:paraId="3405C482" w14:textId="63D4CED2" w:rsidR="00AF113B" w:rsidRPr="00935D32" w:rsidRDefault="00AD022C" w:rsidP="00935D32">
      <w:pPr>
        <w:pStyle w:val="Listenabsatz"/>
        <w:numPr>
          <w:ilvl w:val="0"/>
          <w:numId w:val="16"/>
        </w:numPr>
        <w:rPr>
          <w:rFonts w:ascii="Arial" w:hAnsi="Arial" w:cs="Arial"/>
          <w:sz w:val="24"/>
          <w:szCs w:val="24"/>
        </w:rPr>
      </w:pPr>
      <w:r w:rsidRPr="00935D32">
        <w:rPr>
          <w:rFonts w:ascii="Arial" w:hAnsi="Arial" w:cs="Arial"/>
          <w:sz w:val="24"/>
          <w:szCs w:val="24"/>
        </w:rPr>
        <w:t>Bereits jetzt ist klar, dass die in unserer Stellungnahme vom 20. August 2024 formulierte Forderung («innerhalb des bestehenden Gebäudevolumens darf die bestehende Wohnfläche erweitert werden») mit Bundesrecht vereinbar ist.</w:t>
      </w:r>
    </w:p>
    <w:p w14:paraId="4126154C" w14:textId="2582ADB9" w:rsidR="00E02752" w:rsidRPr="00935D32" w:rsidRDefault="00E02752" w:rsidP="002F10D1">
      <w:pPr>
        <w:pStyle w:val="Listenabsatz"/>
        <w:numPr>
          <w:ilvl w:val="0"/>
          <w:numId w:val="16"/>
        </w:numPr>
        <w:rPr>
          <w:rFonts w:ascii="Arial" w:hAnsi="Arial" w:cs="Arial"/>
          <w:sz w:val="24"/>
          <w:szCs w:val="24"/>
        </w:rPr>
      </w:pPr>
      <w:r w:rsidRPr="00935D32">
        <w:rPr>
          <w:rFonts w:ascii="Arial" w:hAnsi="Arial" w:cs="Arial"/>
          <w:sz w:val="24"/>
          <w:szCs w:val="24"/>
        </w:rPr>
        <w:t xml:space="preserve">Unser Vorgehen ist kompatibel mit einer möglichst einfachen und transparenten Implementierung </w:t>
      </w:r>
      <w:r w:rsidR="00CE1707" w:rsidRPr="00935D32">
        <w:rPr>
          <w:rFonts w:ascii="Arial" w:hAnsi="Arial" w:cs="Arial"/>
          <w:sz w:val="24"/>
          <w:szCs w:val="24"/>
        </w:rPr>
        <w:t xml:space="preserve">von </w:t>
      </w:r>
      <w:r w:rsidRPr="00935D32">
        <w:rPr>
          <w:rFonts w:ascii="Arial" w:hAnsi="Arial" w:cs="Arial"/>
          <w:sz w:val="24"/>
          <w:szCs w:val="24"/>
        </w:rPr>
        <w:t>RPV II im Kanton Freiburg. Die Genehmigung der anzupassenden Richtplaninhalte muss wie gesagt inner</w:t>
      </w:r>
      <w:r w:rsidR="004F39DC" w:rsidRPr="00935D32">
        <w:rPr>
          <w:rFonts w:ascii="Arial" w:hAnsi="Arial" w:cs="Arial"/>
          <w:sz w:val="24"/>
          <w:szCs w:val="24"/>
        </w:rPr>
        <w:t xml:space="preserve">t </w:t>
      </w:r>
      <w:r w:rsidRPr="00935D32">
        <w:rPr>
          <w:rFonts w:ascii="Arial" w:hAnsi="Arial" w:cs="Arial"/>
          <w:sz w:val="24"/>
          <w:szCs w:val="24"/>
        </w:rPr>
        <w:t xml:space="preserve">fünf Jahren nach Inkrafttreten der Gesetzesänderung erfolgen. </w:t>
      </w:r>
      <w:r w:rsidR="007C1733" w:rsidRPr="00935D32">
        <w:rPr>
          <w:rFonts w:ascii="Arial" w:hAnsi="Arial" w:cs="Arial"/>
          <w:sz w:val="24"/>
          <w:szCs w:val="24"/>
        </w:rPr>
        <w:t xml:space="preserve">Die Aufnahme der Stabilisierungsstrategie erfolgt im ordentlichen Richtplanverfahren, d. h. sie muss vom Bundesrat genehmigt werden. Liegt jedoch innerhalb der genannten Frist keine angepasster und genehmigter Richtplan vor, so gilt von Gesetzes wegen, dass bis zum Vorliegen eines solchen Richtplaninhalts jedes weitere Gebäude ausserhalb der Bauzonen kompensationspflichtig ist. </w:t>
      </w:r>
      <w:r w:rsidR="00B17DE0" w:rsidRPr="00935D32">
        <w:rPr>
          <w:rFonts w:ascii="Arial" w:hAnsi="Arial" w:cs="Arial"/>
          <w:sz w:val="24"/>
          <w:szCs w:val="24"/>
        </w:rPr>
        <w:t xml:space="preserve">Massgebend für die Beurteilung der Zielerreichung ist der Vergleich mit dem Stand von 29. September 2023. </w:t>
      </w:r>
    </w:p>
    <w:p w14:paraId="6F75D8F9" w14:textId="77777777" w:rsidR="00226835" w:rsidRPr="00935D32" w:rsidRDefault="00226835" w:rsidP="00A03C8D">
      <w:pPr>
        <w:rPr>
          <w:rFonts w:ascii="Arial" w:hAnsi="Arial" w:cs="Arial"/>
          <w:sz w:val="24"/>
          <w:szCs w:val="24"/>
        </w:rPr>
      </w:pPr>
    </w:p>
    <w:p w14:paraId="3F461718" w14:textId="43ADCC94" w:rsidR="00226835" w:rsidRPr="00DC70F2" w:rsidRDefault="00226835" w:rsidP="00A03C8D">
      <w:pPr>
        <w:rPr>
          <w:rFonts w:ascii="Arial" w:hAnsi="Arial" w:cs="Arial"/>
          <w:b/>
          <w:bCs/>
          <w:sz w:val="24"/>
          <w:szCs w:val="24"/>
        </w:rPr>
      </w:pPr>
      <w:r w:rsidRPr="00935D32">
        <w:rPr>
          <w:rFonts w:ascii="Arial" w:hAnsi="Arial" w:cs="Arial"/>
          <w:b/>
          <w:bCs/>
          <w:sz w:val="24"/>
          <w:szCs w:val="24"/>
        </w:rPr>
        <w:t>Positive Nebeneffekte bei einer Umsetzung unseres Anliegens</w:t>
      </w:r>
    </w:p>
    <w:p w14:paraId="68F80345" w14:textId="1E0114BF" w:rsidR="00CD2935" w:rsidRPr="00935D32" w:rsidRDefault="00CD2935" w:rsidP="00CD2935">
      <w:pPr>
        <w:pStyle w:val="Listenabsatz"/>
        <w:numPr>
          <w:ilvl w:val="0"/>
          <w:numId w:val="16"/>
        </w:numPr>
        <w:rPr>
          <w:rFonts w:ascii="Arial" w:hAnsi="Arial" w:cs="Arial"/>
          <w:sz w:val="24"/>
          <w:szCs w:val="24"/>
        </w:rPr>
      </w:pPr>
      <w:r w:rsidRPr="00935D32">
        <w:rPr>
          <w:rFonts w:ascii="Arial" w:hAnsi="Arial" w:cs="Arial"/>
          <w:sz w:val="24"/>
          <w:szCs w:val="24"/>
        </w:rPr>
        <w:t>Es wurde bereits dargelegt, dass die quantitativen Vorgaben der Raumplanung und des Landschaftsschutzes mit unserem Vorschlag eingehalten werden. Der Trennungsgrundsatz wird nicht verletzt, es erfolgt weder eine Ausweitung von Gebäudeinhalten noch von versiegelten Flächen. Die kantonale Politik kann</w:t>
      </w:r>
      <w:r w:rsidR="00ED0F72" w:rsidRPr="00935D32">
        <w:rPr>
          <w:rFonts w:ascii="Arial" w:hAnsi="Arial" w:cs="Arial"/>
          <w:sz w:val="24"/>
          <w:szCs w:val="24"/>
        </w:rPr>
        <w:t xml:space="preserve"> jedoch</w:t>
      </w:r>
      <w:r w:rsidRPr="00935D32">
        <w:rPr>
          <w:rFonts w:ascii="Arial" w:hAnsi="Arial" w:cs="Arial"/>
          <w:sz w:val="24"/>
          <w:szCs w:val="24"/>
        </w:rPr>
        <w:t xml:space="preserve"> bei einer Umsetzung unseres Anliegens nicht nur eine Verbesserung der Lebens- und Wohnqualität der betroffenen Nutzer ermöglichen, sondern </w:t>
      </w:r>
      <w:r w:rsidR="00ED0F72" w:rsidRPr="00935D32">
        <w:rPr>
          <w:rFonts w:ascii="Arial" w:hAnsi="Arial" w:cs="Arial"/>
          <w:sz w:val="24"/>
          <w:szCs w:val="24"/>
        </w:rPr>
        <w:t xml:space="preserve">auch qualitativen Mehrwert schaffen, sei es durch formelle Auflagen bei einer Bewilligung oder durch zu erwartende positive Nebenwirkungen. </w:t>
      </w:r>
    </w:p>
    <w:p w14:paraId="6DEAB181" w14:textId="77777777" w:rsidR="00ED0F72" w:rsidRPr="00935D32" w:rsidRDefault="00ED0F72" w:rsidP="00ED0F72">
      <w:pPr>
        <w:pStyle w:val="Listenabsatz"/>
        <w:rPr>
          <w:rFonts w:ascii="Arial" w:hAnsi="Arial" w:cs="Arial"/>
          <w:sz w:val="24"/>
          <w:szCs w:val="24"/>
        </w:rPr>
      </w:pPr>
    </w:p>
    <w:p w14:paraId="63667D88" w14:textId="3779B18E" w:rsidR="00ED0F72" w:rsidRPr="00935D32" w:rsidRDefault="00ED0F72" w:rsidP="00ED0F72">
      <w:pPr>
        <w:pStyle w:val="Listenabsatz"/>
        <w:numPr>
          <w:ilvl w:val="1"/>
          <w:numId w:val="16"/>
        </w:numPr>
        <w:rPr>
          <w:rFonts w:ascii="Arial" w:hAnsi="Arial" w:cs="Arial"/>
          <w:sz w:val="24"/>
          <w:szCs w:val="24"/>
        </w:rPr>
      </w:pPr>
      <w:r w:rsidRPr="00935D32">
        <w:rPr>
          <w:rFonts w:ascii="Arial" w:hAnsi="Arial" w:cs="Arial"/>
          <w:sz w:val="24"/>
          <w:szCs w:val="24"/>
        </w:rPr>
        <w:t xml:space="preserve">Zu erwartende positive Nebeneffekte (soft </w:t>
      </w:r>
      <w:proofErr w:type="spellStart"/>
      <w:r w:rsidRPr="00935D32">
        <w:rPr>
          <w:rFonts w:ascii="Arial" w:hAnsi="Arial" w:cs="Arial"/>
          <w:sz w:val="24"/>
          <w:szCs w:val="24"/>
        </w:rPr>
        <w:t>factors</w:t>
      </w:r>
      <w:proofErr w:type="spellEnd"/>
      <w:r w:rsidRPr="00935D32">
        <w:rPr>
          <w:rFonts w:ascii="Arial" w:hAnsi="Arial" w:cs="Arial"/>
          <w:sz w:val="24"/>
          <w:szCs w:val="24"/>
        </w:rPr>
        <w:t>)</w:t>
      </w:r>
      <w:r w:rsidR="00DC70F2">
        <w:rPr>
          <w:rFonts w:ascii="Arial" w:hAnsi="Arial" w:cs="Arial"/>
          <w:sz w:val="24"/>
          <w:szCs w:val="24"/>
        </w:rPr>
        <w:t>:</w:t>
      </w:r>
    </w:p>
    <w:p w14:paraId="6517E55C" w14:textId="21DF1BB6" w:rsidR="00ED0F72" w:rsidRPr="00935D32" w:rsidRDefault="00ED0F72" w:rsidP="00ED0F72">
      <w:pPr>
        <w:pStyle w:val="Listenabsatz"/>
        <w:numPr>
          <w:ilvl w:val="2"/>
          <w:numId w:val="16"/>
        </w:numPr>
        <w:rPr>
          <w:rFonts w:ascii="Arial" w:hAnsi="Arial" w:cs="Arial"/>
          <w:sz w:val="24"/>
          <w:szCs w:val="24"/>
        </w:rPr>
      </w:pPr>
      <w:r w:rsidRPr="00935D32">
        <w:rPr>
          <w:rFonts w:ascii="Arial" w:hAnsi="Arial" w:cs="Arial"/>
          <w:sz w:val="24"/>
          <w:szCs w:val="24"/>
        </w:rPr>
        <w:t xml:space="preserve">Stabilisierung der ländlichen Bevölkerungszahl. Zwischen 2000 und 2016 hat die Zahl der Einwohner/innen ausserhalb der Bauzonen auf nationaler Ebene um gut 30'000 abgenommen. Ihr Anteil an der Gesamtbevölkerung nahm von 6,5 auf 5,2% ab. Momentan beträgt ihr Anteil an der Gesamtbevölkerung noch 4,9% (rund 425'000 Personen). </w:t>
      </w:r>
    </w:p>
    <w:p w14:paraId="31853A4A" w14:textId="4C701BB0" w:rsidR="007C4DE0" w:rsidRPr="00935D32" w:rsidRDefault="007C4DE0" w:rsidP="00ED0F72">
      <w:pPr>
        <w:pStyle w:val="Listenabsatz"/>
        <w:numPr>
          <w:ilvl w:val="2"/>
          <w:numId w:val="16"/>
        </w:numPr>
        <w:rPr>
          <w:rFonts w:ascii="Arial" w:hAnsi="Arial" w:cs="Arial"/>
          <w:sz w:val="24"/>
          <w:szCs w:val="24"/>
        </w:rPr>
      </w:pPr>
      <w:r w:rsidRPr="00935D32">
        <w:rPr>
          <w:rFonts w:ascii="Arial" w:hAnsi="Arial" w:cs="Arial"/>
          <w:sz w:val="24"/>
          <w:szCs w:val="24"/>
        </w:rPr>
        <w:t>Für die jetzige Landbevölkerung gilt: je ärmer die Bewohner, umso gedrängter ist die Wohnsituation und aufgrund knapper finanzieller Mittel ist ein Ausweichen in Bauzonen schwierig.</w:t>
      </w:r>
    </w:p>
    <w:p w14:paraId="769D2E84" w14:textId="15845AFA" w:rsidR="00ED0F72" w:rsidRPr="00935D32" w:rsidRDefault="00ED0F72" w:rsidP="00ED0F72">
      <w:pPr>
        <w:pStyle w:val="Listenabsatz"/>
        <w:numPr>
          <w:ilvl w:val="2"/>
          <w:numId w:val="16"/>
        </w:numPr>
        <w:rPr>
          <w:rFonts w:ascii="Arial" w:hAnsi="Arial" w:cs="Arial"/>
          <w:sz w:val="24"/>
          <w:szCs w:val="24"/>
        </w:rPr>
      </w:pPr>
      <w:r w:rsidRPr="00935D32">
        <w:rPr>
          <w:rFonts w:ascii="Arial" w:hAnsi="Arial" w:cs="Arial"/>
          <w:sz w:val="24"/>
          <w:szCs w:val="24"/>
        </w:rPr>
        <w:t>In geringem Umfang Entlastung des Drucks auf Miet- und Eigentumswohnungen in Agglomeration und Stadt.</w:t>
      </w:r>
      <w:r w:rsidR="007C4DE0" w:rsidRPr="00935D32">
        <w:rPr>
          <w:rFonts w:ascii="Arial" w:hAnsi="Arial" w:cs="Arial"/>
          <w:sz w:val="24"/>
          <w:szCs w:val="24"/>
        </w:rPr>
        <w:t xml:space="preserve"> </w:t>
      </w:r>
    </w:p>
    <w:p w14:paraId="5E49A367" w14:textId="78933BC4" w:rsidR="00ED0F72" w:rsidRPr="00935D32" w:rsidRDefault="00ED0F72" w:rsidP="00ED0F72">
      <w:pPr>
        <w:pStyle w:val="Listenabsatz"/>
        <w:numPr>
          <w:ilvl w:val="2"/>
          <w:numId w:val="16"/>
        </w:numPr>
        <w:rPr>
          <w:rFonts w:ascii="Arial" w:hAnsi="Arial" w:cs="Arial"/>
          <w:sz w:val="24"/>
          <w:szCs w:val="24"/>
        </w:rPr>
      </w:pPr>
      <w:r w:rsidRPr="00935D32">
        <w:rPr>
          <w:rFonts w:ascii="Arial" w:hAnsi="Arial" w:cs="Arial"/>
          <w:sz w:val="24"/>
          <w:szCs w:val="24"/>
        </w:rPr>
        <w:t>Aufwertung des Landschaftsbildes durch die Vermeidung verwahrloster Ökonomieteile.</w:t>
      </w:r>
    </w:p>
    <w:p w14:paraId="2741B7D7" w14:textId="2E672924" w:rsidR="00ED0F72" w:rsidRPr="00935D32" w:rsidRDefault="00ED0F72" w:rsidP="00ED0F72">
      <w:pPr>
        <w:pStyle w:val="Listenabsatz"/>
        <w:numPr>
          <w:ilvl w:val="2"/>
          <w:numId w:val="16"/>
        </w:numPr>
        <w:rPr>
          <w:rFonts w:ascii="Arial" w:hAnsi="Arial" w:cs="Arial"/>
          <w:sz w:val="24"/>
          <w:szCs w:val="24"/>
        </w:rPr>
      </w:pPr>
      <w:r w:rsidRPr="00935D32">
        <w:rPr>
          <w:rFonts w:ascii="Arial" w:hAnsi="Arial" w:cs="Arial"/>
          <w:sz w:val="24"/>
          <w:szCs w:val="24"/>
        </w:rPr>
        <w:lastRenderedPageBreak/>
        <w:t>Ermöglichung von Mehr-Generationen-Wohnmodellen und Gemeinschaftsgärten auf dem Land</w:t>
      </w:r>
      <w:r w:rsidR="00A64365" w:rsidRPr="00935D32">
        <w:rPr>
          <w:rFonts w:ascii="Arial" w:hAnsi="Arial" w:cs="Arial"/>
          <w:sz w:val="24"/>
          <w:szCs w:val="24"/>
        </w:rPr>
        <w:t>.</w:t>
      </w:r>
    </w:p>
    <w:p w14:paraId="2985485E" w14:textId="23CF7D80" w:rsidR="00141474" w:rsidRDefault="00141474" w:rsidP="00ED0F72">
      <w:pPr>
        <w:pStyle w:val="Listenabsatz"/>
        <w:numPr>
          <w:ilvl w:val="2"/>
          <w:numId w:val="16"/>
        </w:numPr>
        <w:rPr>
          <w:rFonts w:ascii="Arial" w:hAnsi="Arial" w:cs="Arial"/>
          <w:sz w:val="24"/>
          <w:szCs w:val="24"/>
        </w:rPr>
      </w:pPr>
      <w:r w:rsidRPr="00935D32">
        <w:rPr>
          <w:rFonts w:ascii="Arial" w:hAnsi="Arial" w:cs="Arial"/>
          <w:sz w:val="24"/>
          <w:szCs w:val="24"/>
        </w:rPr>
        <w:t>Zusätzliche Haltestellen öV in bereits bestehenden Netzen.</w:t>
      </w:r>
    </w:p>
    <w:p w14:paraId="1EFE2CF3" w14:textId="77777777" w:rsidR="00E17C49" w:rsidRPr="00935D32" w:rsidRDefault="00E17C49" w:rsidP="00E17C49">
      <w:pPr>
        <w:pStyle w:val="Listenabsatz"/>
        <w:ind w:left="1211"/>
        <w:rPr>
          <w:rFonts w:ascii="Arial" w:hAnsi="Arial" w:cs="Arial"/>
          <w:sz w:val="24"/>
          <w:szCs w:val="24"/>
        </w:rPr>
      </w:pPr>
    </w:p>
    <w:p w14:paraId="43BDAF34" w14:textId="62EE2309" w:rsidR="00141474" w:rsidRPr="00935D32" w:rsidRDefault="00141474" w:rsidP="00141474">
      <w:pPr>
        <w:pStyle w:val="Listenabsatz"/>
        <w:numPr>
          <w:ilvl w:val="1"/>
          <w:numId w:val="16"/>
        </w:numPr>
        <w:rPr>
          <w:rFonts w:ascii="Arial" w:hAnsi="Arial" w:cs="Arial"/>
          <w:sz w:val="24"/>
          <w:szCs w:val="24"/>
        </w:rPr>
      </w:pPr>
      <w:r w:rsidRPr="00935D32">
        <w:rPr>
          <w:rFonts w:ascii="Arial" w:hAnsi="Arial" w:cs="Arial"/>
          <w:sz w:val="24"/>
          <w:szCs w:val="24"/>
        </w:rPr>
        <w:t xml:space="preserve">Mögliche Massnahmen, welche der Bauherr zusammen mit dem Ausbaugesuch einreichen kann. Der Staat kann diese abändern oder bei einer Bewilligung weitere Massnahmen verfügen. </w:t>
      </w:r>
    </w:p>
    <w:p w14:paraId="343D9F0C" w14:textId="0CCEC99A" w:rsidR="00FD101A" w:rsidRPr="00935D32" w:rsidRDefault="00FD101A" w:rsidP="00FD101A">
      <w:pPr>
        <w:pStyle w:val="Listenabsatz"/>
        <w:numPr>
          <w:ilvl w:val="2"/>
          <w:numId w:val="16"/>
        </w:numPr>
        <w:rPr>
          <w:rFonts w:ascii="Arial" w:hAnsi="Arial" w:cs="Arial"/>
          <w:sz w:val="24"/>
          <w:szCs w:val="24"/>
        </w:rPr>
      </w:pPr>
      <w:r w:rsidRPr="00935D32">
        <w:rPr>
          <w:rFonts w:ascii="Arial" w:hAnsi="Arial" w:cs="Arial"/>
          <w:sz w:val="24"/>
          <w:szCs w:val="24"/>
        </w:rPr>
        <w:t>Energetische Sanierungen, z. B. Solarpflicht</w:t>
      </w:r>
    </w:p>
    <w:p w14:paraId="7949DBAB" w14:textId="40FC4A7A" w:rsidR="00FD101A" w:rsidRPr="00935D32" w:rsidRDefault="00FD101A" w:rsidP="00FD101A">
      <w:pPr>
        <w:pStyle w:val="Listenabsatz"/>
        <w:numPr>
          <w:ilvl w:val="2"/>
          <w:numId w:val="16"/>
        </w:numPr>
        <w:rPr>
          <w:rFonts w:ascii="Arial" w:hAnsi="Arial" w:cs="Arial"/>
          <w:sz w:val="24"/>
          <w:szCs w:val="24"/>
        </w:rPr>
      </w:pPr>
      <w:r w:rsidRPr="00935D32">
        <w:rPr>
          <w:rFonts w:ascii="Arial" w:hAnsi="Arial" w:cs="Arial"/>
          <w:sz w:val="24"/>
          <w:szCs w:val="24"/>
        </w:rPr>
        <w:t>Renaturierungsprojekte</w:t>
      </w:r>
    </w:p>
    <w:p w14:paraId="2DBC11AF" w14:textId="32CED237" w:rsidR="00FD101A" w:rsidRPr="00935D32" w:rsidRDefault="00FD101A" w:rsidP="00FD101A">
      <w:pPr>
        <w:pStyle w:val="Listenabsatz"/>
        <w:numPr>
          <w:ilvl w:val="2"/>
          <w:numId w:val="16"/>
        </w:numPr>
        <w:rPr>
          <w:rFonts w:ascii="Arial" w:hAnsi="Arial" w:cs="Arial"/>
          <w:sz w:val="24"/>
          <w:szCs w:val="24"/>
        </w:rPr>
      </w:pPr>
      <w:r w:rsidRPr="00935D32">
        <w:rPr>
          <w:rFonts w:ascii="Arial" w:hAnsi="Arial" w:cs="Arial"/>
          <w:sz w:val="24"/>
          <w:szCs w:val="24"/>
        </w:rPr>
        <w:t>Aufwertung Baumbestand, Bepflanzung, Massnahmen Biodiversität</w:t>
      </w:r>
    </w:p>
    <w:p w14:paraId="154B71DE" w14:textId="0651C24F" w:rsidR="00FD101A" w:rsidRPr="00935D32" w:rsidRDefault="00FD101A" w:rsidP="00FD101A">
      <w:pPr>
        <w:pStyle w:val="Listenabsatz"/>
        <w:numPr>
          <w:ilvl w:val="2"/>
          <w:numId w:val="16"/>
        </w:numPr>
        <w:rPr>
          <w:rFonts w:ascii="Arial" w:hAnsi="Arial" w:cs="Arial"/>
          <w:sz w:val="24"/>
          <w:szCs w:val="24"/>
        </w:rPr>
      </w:pPr>
      <w:r w:rsidRPr="00935D32">
        <w:rPr>
          <w:rFonts w:ascii="Arial" w:hAnsi="Arial" w:cs="Arial"/>
          <w:sz w:val="24"/>
          <w:szCs w:val="24"/>
        </w:rPr>
        <w:t xml:space="preserve">Ökologische Korridore (z. B. </w:t>
      </w:r>
      <w:r w:rsidR="00642796" w:rsidRPr="00935D32">
        <w:rPr>
          <w:rFonts w:ascii="Arial" w:hAnsi="Arial" w:cs="Arial"/>
          <w:sz w:val="24"/>
          <w:szCs w:val="24"/>
        </w:rPr>
        <w:t>Wildt</w:t>
      </w:r>
      <w:r w:rsidRPr="00935D32">
        <w:rPr>
          <w:rFonts w:ascii="Arial" w:hAnsi="Arial" w:cs="Arial"/>
          <w:sz w:val="24"/>
          <w:szCs w:val="24"/>
        </w:rPr>
        <w:t>ierwanderungen)</w:t>
      </w:r>
    </w:p>
    <w:p w14:paraId="52FDB161" w14:textId="7E6564BE" w:rsidR="00FD101A" w:rsidRPr="00935D32" w:rsidRDefault="00FD101A" w:rsidP="00FD101A">
      <w:pPr>
        <w:pStyle w:val="Listenabsatz"/>
        <w:numPr>
          <w:ilvl w:val="2"/>
          <w:numId w:val="16"/>
        </w:numPr>
        <w:rPr>
          <w:rFonts w:ascii="Arial" w:hAnsi="Arial" w:cs="Arial"/>
          <w:sz w:val="24"/>
          <w:szCs w:val="24"/>
        </w:rPr>
      </w:pPr>
      <w:r w:rsidRPr="00935D32">
        <w:rPr>
          <w:rFonts w:ascii="Arial" w:hAnsi="Arial" w:cs="Arial"/>
          <w:sz w:val="24"/>
          <w:szCs w:val="24"/>
        </w:rPr>
        <w:t>Co-</w:t>
      </w:r>
      <w:proofErr w:type="spellStart"/>
      <w:r w:rsidRPr="00935D32">
        <w:rPr>
          <w:rFonts w:ascii="Arial" w:hAnsi="Arial" w:cs="Arial"/>
          <w:sz w:val="24"/>
          <w:szCs w:val="24"/>
        </w:rPr>
        <w:t>housing</w:t>
      </w:r>
      <w:proofErr w:type="spellEnd"/>
      <w:r w:rsidRPr="00935D32">
        <w:rPr>
          <w:rFonts w:ascii="Arial" w:hAnsi="Arial" w:cs="Arial"/>
          <w:sz w:val="24"/>
          <w:szCs w:val="24"/>
        </w:rPr>
        <w:t xml:space="preserve"> – Projekte </w:t>
      </w:r>
    </w:p>
    <w:p w14:paraId="55DC7832" w14:textId="3FA4E6D3" w:rsidR="00FD101A" w:rsidRPr="00935D32" w:rsidRDefault="00FD101A" w:rsidP="00FD101A">
      <w:pPr>
        <w:pStyle w:val="Listenabsatz"/>
        <w:numPr>
          <w:ilvl w:val="2"/>
          <w:numId w:val="16"/>
        </w:numPr>
        <w:rPr>
          <w:rFonts w:ascii="Arial" w:hAnsi="Arial" w:cs="Arial"/>
          <w:sz w:val="24"/>
          <w:szCs w:val="24"/>
        </w:rPr>
      </w:pPr>
      <w:r w:rsidRPr="00935D32">
        <w:rPr>
          <w:rFonts w:ascii="Arial" w:hAnsi="Arial" w:cs="Arial"/>
          <w:sz w:val="24"/>
          <w:szCs w:val="24"/>
        </w:rPr>
        <w:t>Schutz und Erhaltung Kulturgüter, Erhaltung des Erscheinungsbildes</w:t>
      </w:r>
    </w:p>
    <w:p w14:paraId="63DC8743" w14:textId="456582CF" w:rsidR="00FD101A" w:rsidRPr="00935D32" w:rsidRDefault="00FD101A" w:rsidP="00FD101A">
      <w:pPr>
        <w:pStyle w:val="Listenabsatz"/>
        <w:numPr>
          <w:ilvl w:val="2"/>
          <w:numId w:val="16"/>
        </w:numPr>
        <w:rPr>
          <w:rFonts w:ascii="Arial" w:hAnsi="Arial" w:cs="Arial"/>
          <w:sz w:val="24"/>
          <w:szCs w:val="24"/>
        </w:rPr>
      </w:pPr>
      <w:r w:rsidRPr="00935D32">
        <w:rPr>
          <w:rFonts w:ascii="Arial" w:hAnsi="Arial" w:cs="Arial"/>
          <w:sz w:val="24"/>
          <w:szCs w:val="24"/>
        </w:rPr>
        <w:t>Regenwassermanagement</w:t>
      </w:r>
    </w:p>
    <w:p w14:paraId="66BFFD95" w14:textId="65BB601A" w:rsidR="00FD101A" w:rsidRDefault="00FD101A" w:rsidP="00FD101A">
      <w:pPr>
        <w:pStyle w:val="Listenabsatz"/>
        <w:numPr>
          <w:ilvl w:val="2"/>
          <w:numId w:val="16"/>
        </w:numPr>
        <w:rPr>
          <w:rFonts w:ascii="Arial" w:hAnsi="Arial" w:cs="Arial"/>
          <w:sz w:val="24"/>
          <w:szCs w:val="24"/>
        </w:rPr>
      </w:pPr>
      <w:r w:rsidRPr="00935D32">
        <w:rPr>
          <w:rFonts w:ascii="Arial" w:hAnsi="Arial" w:cs="Arial"/>
          <w:sz w:val="24"/>
          <w:szCs w:val="24"/>
        </w:rPr>
        <w:t xml:space="preserve">Etc. </w:t>
      </w:r>
    </w:p>
    <w:p w14:paraId="18D71635" w14:textId="77777777" w:rsidR="00E17C49" w:rsidRPr="00935D32" w:rsidRDefault="00E17C49" w:rsidP="00E17C49">
      <w:pPr>
        <w:pStyle w:val="Listenabsatz"/>
        <w:ind w:left="1211"/>
        <w:rPr>
          <w:rFonts w:ascii="Arial" w:hAnsi="Arial" w:cs="Arial"/>
          <w:sz w:val="24"/>
          <w:szCs w:val="24"/>
        </w:rPr>
      </w:pPr>
    </w:p>
    <w:p w14:paraId="33398307" w14:textId="321B2230" w:rsidR="00B10A19" w:rsidRPr="00935D32" w:rsidRDefault="00B10A19" w:rsidP="00B10A19">
      <w:pPr>
        <w:pStyle w:val="Listenabsatz"/>
        <w:numPr>
          <w:ilvl w:val="1"/>
          <w:numId w:val="16"/>
        </w:numPr>
        <w:rPr>
          <w:rFonts w:ascii="Arial" w:hAnsi="Arial" w:cs="Arial"/>
          <w:sz w:val="24"/>
          <w:szCs w:val="24"/>
        </w:rPr>
      </w:pPr>
      <w:r w:rsidRPr="00935D32">
        <w:rPr>
          <w:rFonts w:ascii="Arial" w:hAnsi="Arial" w:cs="Arial"/>
          <w:sz w:val="24"/>
          <w:szCs w:val="24"/>
        </w:rPr>
        <w:t xml:space="preserve">Nicht zuletzt kann der Kanton in Form von Mehrwertabgaben zusätzliche Einkünfte generieren, welche auf Stufe Gemeinde und Kanton zweckgebundene Aufwände mitfinanzieren. </w:t>
      </w:r>
    </w:p>
    <w:sectPr w:rsidR="00B10A19" w:rsidRPr="00935D32">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4F51" w14:textId="77777777" w:rsidR="00812065" w:rsidRDefault="00812065" w:rsidP="00DC70F2">
      <w:pPr>
        <w:spacing w:after="0" w:line="240" w:lineRule="auto"/>
      </w:pPr>
      <w:r>
        <w:separator/>
      </w:r>
    </w:p>
  </w:endnote>
  <w:endnote w:type="continuationSeparator" w:id="0">
    <w:p w14:paraId="163FF149" w14:textId="77777777" w:rsidR="00812065" w:rsidRDefault="00812065" w:rsidP="00DC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829159"/>
      <w:docPartObj>
        <w:docPartGallery w:val="Page Numbers (Bottom of Page)"/>
        <w:docPartUnique/>
      </w:docPartObj>
    </w:sdtPr>
    <w:sdtEndPr/>
    <w:sdtContent>
      <w:p w14:paraId="19FD21F4" w14:textId="65FBE15A" w:rsidR="00DC70F2" w:rsidRDefault="00DC70F2">
        <w:pPr>
          <w:pStyle w:val="Fuzeile"/>
          <w:jc w:val="right"/>
        </w:pPr>
        <w:r>
          <w:fldChar w:fldCharType="begin"/>
        </w:r>
        <w:r>
          <w:instrText>PAGE   \* MERGEFORMAT</w:instrText>
        </w:r>
        <w:r>
          <w:fldChar w:fldCharType="separate"/>
        </w:r>
        <w:r>
          <w:rPr>
            <w:lang w:val="de-DE"/>
          </w:rPr>
          <w:t>2</w:t>
        </w:r>
        <w:r>
          <w:fldChar w:fldCharType="end"/>
        </w:r>
      </w:p>
    </w:sdtContent>
  </w:sdt>
  <w:p w14:paraId="0FC34845" w14:textId="77777777" w:rsidR="00DC70F2" w:rsidRDefault="00DC70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E0CF" w14:textId="77777777" w:rsidR="00812065" w:rsidRDefault="00812065" w:rsidP="00DC70F2">
      <w:pPr>
        <w:spacing w:after="0" w:line="240" w:lineRule="auto"/>
      </w:pPr>
      <w:r>
        <w:separator/>
      </w:r>
    </w:p>
  </w:footnote>
  <w:footnote w:type="continuationSeparator" w:id="0">
    <w:p w14:paraId="3453A89D" w14:textId="77777777" w:rsidR="00812065" w:rsidRDefault="00812065" w:rsidP="00DC7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EF6"/>
    <w:multiLevelType w:val="hybridMultilevel"/>
    <w:tmpl w:val="8F4A8C98"/>
    <w:lvl w:ilvl="0" w:tplc="C2D26A5A">
      <w:start w:val="5"/>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520B3F"/>
    <w:multiLevelType w:val="multilevel"/>
    <w:tmpl w:val="3A2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110BA"/>
    <w:multiLevelType w:val="multilevel"/>
    <w:tmpl w:val="A2E2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2369C"/>
    <w:multiLevelType w:val="hybridMultilevel"/>
    <w:tmpl w:val="A31CE572"/>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C60507D"/>
    <w:multiLevelType w:val="hybridMultilevel"/>
    <w:tmpl w:val="C7A24D36"/>
    <w:lvl w:ilvl="0" w:tplc="3014C3B0">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CDF4E03"/>
    <w:multiLevelType w:val="hybridMultilevel"/>
    <w:tmpl w:val="ABD0FB34"/>
    <w:lvl w:ilvl="0" w:tplc="CDAE1DA6">
      <w:start w:val="4"/>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786" w:hanging="360"/>
      </w:pPr>
      <w:rPr>
        <w:rFonts w:ascii="Courier New" w:hAnsi="Courier New" w:cs="Courier New" w:hint="default"/>
      </w:rPr>
    </w:lvl>
    <w:lvl w:ilvl="2" w:tplc="08070005">
      <w:start w:val="1"/>
      <w:numFmt w:val="bullet"/>
      <w:lvlText w:val=""/>
      <w:lvlJc w:val="left"/>
      <w:pPr>
        <w:ind w:left="1211"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EB12A11"/>
    <w:multiLevelType w:val="hybridMultilevel"/>
    <w:tmpl w:val="BF7220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6035A63"/>
    <w:multiLevelType w:val="hybridMultilevel"/>
    <w:tmpl w:val="7F2C2B0C"/>
    <w:lvl w:ilvl="0" w:tplc="8506C2C4">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08270C1"/>
    <w:multiLevelType w:val="hybridMultilevel"/>
    <w:tmpl w:val="AA54D0B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22A7C33"/>
    <w:multiLevelType w:val="hybridMultilevel"/>
    <w:tmpl w:val="22A8CB6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3907A4D"/>
    <w:multiLevelType w:val="hybridMultilevel"/>
    <w:tmpl w:val="B9C89F54"/>
    <w:lvl w:ilvl="0" w:tplc="81484392">
      <w:start w:val="26"/>
      <w:numFmt w:val="bullet"/>
      <w:lvlText w:val="-"/>
      <w:lvlJc w:val="left"/>
      <w:pPr>
        <w:ind w:left="720" w:hanging="360"/>
      </w:pPr>
      <w:rPr>
        <w:rFonts w:ascii="Aptos" w:eastAsiaTheme="minorHAnsi" w:hAnsi="Aptos"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8364540"/>
    <w:multiLevelType w:val="hybridMultilevel"/>
    <w:tmpl w:val="E4CAAA5A"/>
    <w:lvl w:ilvl="0" w:tplc="4112E1CC">
      <w:start w:val="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612B50"/>
    <w:multiLevelType w:val="hybridMultilevel"/>
    <w:tmpl w:val="CA3AB6A0"/>
    <w:lvl w:ilvl="0" w:tplc="EFDEC396">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F115F73"/>
    <w:multiLevelType w:val="hybridMultilevel"/>
    <w:tmpl w:val="F42A75A8"/>
    <w:lvl w:ilvl="0" w:tplc="34E46C8E">
      <w:start w:val="1"/>
      <w:numFmt w:val="decimal"/>
      <w:lvlText w:val="%1."/>
      <w:lvlJc w:val="left"/>
      <w:pPr>
        <w:ind w:left="720" w:hanging="360"/>
      </w:pPr>
      <w:rPr>
        <w:rFonts w:hint="default"/>
        <w:b/>
        <w:sz w:val="22"/>
        <w:szCs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E0D3173"/>
    <w:multiLevelType w:val="hybridMultilevel"/>
    <w:tmpl w:val="05C24A9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0497EFE"/>
    <w:multiLevelType w:val="hybridMultilevel"/>
    <w:tmpl w:val="5CD83D26"/>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82077376">
    <w:abstractNumId w:val="10"/>
  </w:num>
  <w:num w:numId="2" w16cid:durableId="486440278">
    <w:abstractNumId w:val="9"/>
  </w:num>
  <w:num w:numId="3" w16cid:durableId="1528912992">
    <w:abstractNumId w:val="4"/>
  </w:num>
  <w:num w:numId="4" w16cid:durableId="1947345402">
    <w:abstractNumId w:val="15"/>
  </w:num>
  <w:num w:numId="5" w16cid:durableId="720985710">
    <w:abstractNumId w:val="0"/>
  </w:num>
  <w:num w:numId="6" w16cid:durableId="1352681962">
    <w:abstractNumId w:val="3"/>
  </w:num>
  <w:num w:numId="7" w16cid:durableId="1701465808">
    <w:abstractNumId w:val="7"/>
  </w:num>
  <w:num w:numId="8" w16cid:durableId="51387007">
    <w:abstractNumId w:val="11"/>
  </w:num>
  <w:num w:numId="9" w16cid:durableId="836454740">
    <w:abstractNumId w:val="6"/>
  </w:num>
  <w:num w:numId="10" w16cid:durableId="1214927159">
    <w:abstractNumId w:val="1"/>
  </w:num>
  <w:num w:numId="11" w16cid:durableId="1051270070">
    <w:abstractNumId w:val="13"/>
  </w:num>
  <w:num w:numId="12" w16cid:durableId="1407072735">
    <w:abstractNumId w:val="2"/>
  </w:num>
  <w:num w:numId="13" w16cid:durableId="1767192615">
    <w:abstractNumId w:val="12"/>
  </w:num>
  <w:num w:numId="14" w16cid:durableId="1257253763">
    <w:abstractNumId w:val="14"/>
  </w:num>
  <w:num w:numId="15" w16cid:durableId="693385565">
    <w:abstractNumId w:val="8"/>
  </w:num>
  <w:num w:numId="16" w16cid:durableId="1291476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80"/>
    <w:rsid w:val="00011207"/>
    <w:rsid w:val="00013975"/>
    <w:rsid w:val="00016614"/>
    <w:rsid w:val="000334D2"/>
    <w:rsid w:val="00066F2E"/>
    <w:rsid w:val="0009622F"/>
    <w:rsid w:val="000A38E6"/>
    <w:rsid w:val="000B0288"/>
    <w:rsid w:val="000C516E"/>
    <w:rsid w:val="000D3294"/>
    <w:rsid w:val="000D7146"/>
    <w:rsid w:val="000E2C10"/>
    <w:rsid w:val="000E6C24"/>
    <w:rsid w:val="00106075"/>
    <w:rsid w:val="00106245"/>
    <w:rsid w:val="00141474"/>
    <w:rsid w:val="001471D9"/>
    <w:rsid w:val="00170685"/>
    <w:rsid w:val="00173DDC"/>
    <w:rsid w:val="001742D0"/>
    <w:rsid w:val="001817C1"/>
    <w:rsid w:val="00187620"/>
    <w:rsid w:val="001956C5"/>
    <w:rsid w:val="001E5A80"/>
    <w:rsid w:val="001F7B9E"/>
    <w:rsid w:val="00226835"/>
    <w:rsid w:val="00235255"/>
    <w:rsid w:val="00242E0F"/>
    <w:rsid w:val="00246DB7"/>
    <w:rsid w:val="002476D6"/>
    <w:rsid w:val="0025000A"/>
    <w:rsid w:val="00274ABF"/>
    <w:rsid w:val="00292462"/>
    <w:rsid w:val="002A2B28"/>
    <w:rsid w:val="002C30D8"/>
    <w:rsid w:val="002D2391"/>
    <w:rsid w:val="002F10D1"/>
    <w:rsid w:val="003017A3"/>
    <w:rsid w:val="003122D5"/>
    <w:rsid w:val="0032457F"/>
    <w:rsid w:val="00343D0A"/>
    <w:rsid w:val="00345983"/>
    <w:rsid w:val="003471E1"/>
    <w:rsid w:val="003527B7"/>
    <w:rsid w:val="00354B12"/>
    <w:rsid w:val="00366296"/>
    <w:rsid w:val="00380840"/>
    <w:rsid w:val="003846CF"/>
    <w:rsid w:val="00392A7D"/>
    <w:rsid w:val="003A7E96"/>
    <w:rsid w:val="003D222E"/>
    <w:rsid w:val="00403174"/>
    <w:rsid w:val="00404361"/>
    <w:rsid w:val="004049E4"/>
    <w:rsid w:val="00411BB6"/>
    <w:rsid w:val="004213D9"/>
    <w:rsid w:val="0043504F"/>
    <w:rsid w:val="004354EE"/>
    <w:rsid w:val="00437602"/>
    <w:rsid w:val="004450CF"/>
    <w:rsid w:val="00485096"/>
    <w:rsid w:val="0049795B"/>
    <w:rsid w:val="004F0E39"/>
    <w:rsid w:val="004F39DC"/>
    <w:rsid w:val="00526A57"/>
    <w:rsid w:val="00562644"/>
    <w:rsid w:val="00562D8A"/>
    <w:rsid w:val="00563427"/>
    <w:rsid w:val="00575241"/>
    <w:rsid w:val="005A7B3C"/>
    <w:rsid w:val="005B5939"/>
    <w:rsid w:val="005D3FB4"/>
    <w:rsid w:val="0060647A"/>
    <w:rsid w:val="00616FE9"/>
    <w:rsid w:val="00620BE4"/>
    <w:rsid w:val="0062327B"/>
    <w:rsid w:val="00634814"/>
    <w:rsid w:val="00635123"/>
    <w:rsid w:val="00640035"/>
    <w:rsid w:val="006422FD"/>
    <w:rsid w:val="00642796"/>
    <w:rsid w:val="00655B76"/>
    <w:rsid w:val="00665821"/>
    <w:rsid w:val="00676AF2"/>
    <w:rsid w:val="0069741A"/>
    <w:rsid w:val="006A0949"/>
    <w:rsid w:val="006C2320"/>
    <w:rsid w:val="006F5DC9"/>
    <w:rsid w:val="007167BE"/>
    <w:rsid w:val="00730533"/>
    <w:rsid w:val="00736931"/>
    <w:rsid w:val="00751315"/>
    <w:rsid w:val="00786575"/>
    <w:rsid w:val="00795FF6"/>
    <w:rsid w:val="00797F19"/>
    <w:rsid w:val="007B1393"/>
    <w:rsid w:val="007C0B0B"/>
    <w:rsid w:val="007C1733"/>
    <w:rsid w:val="007C4DE0"/>
    <w:rsid w:val="007C6017"/>
    <w:rsid w:val="007C7085"/>
    <w:rsid w:val="007E34C8"/>
    <w:rsid w:val="007F0116"/>
    <w:rsid w:val="007F1A69"/>
    <w:rsid w:val="007F3FF4"/>
    <w:rsid w:val="00812065"/>
    <w:rsid w:val="008167AE"/>
    <w:rsid w:val="00817AAD"/>
    <w:rsid w:val="0082278F"/>
    <w:rsid w:val="00840322"/>
    <w:rsid w:val="0085670B"/>
    <w:rsid w:val="00864BAA"/>
    <w:rsid w:val="00867110"/>
    <w:rsid w:val="0089147D"/>
    <w:rsid w:val="00896543"/>
    <w:rsid w:val="008C4315"/>
    <w:rsid w:val="008D270D"/>
    <w:rsid w:val="008F33AE"/>
    <w:rsid w:val="00912D08"/>
    <w:rsid w:val="00913522"/>
    <w:rsid w:val="00915788"/>
    <w:rsid w:val="00935D32"/>
    <w:rsid w:val="009524FB"/>
    <w:rsid w:val="00985D8D"/>
    <w:rsid w:val="009A3087"/>
    <w:rsid w:val="009A3481"/>
    <w:rsid w:val="009B7698"/>
    <w:rsid w:val="009E425D"/>
    <w:rsid w:val="009F7592"/>
    <w:rsid w:val="00A001AB"/>
    <w:rsid w:val="00A01A66"/>
    <w:rsid w:val="00A03C8D"/>
    <w:rsid w:val="00A10700"/>
    <w:rsid w:val="00A55831"/>
    <w:rsid w:val="00A64365"/>
    <w:rsid w:val="00A9284B"/>
    <w:rsid w:val="00A95ECE"/>
    <w:rsid w:val="00A96800"/>
    <w:rsid w:val="00AA344D"/>
    <w:rsid w:val="00AC32E0"/>
    <w:rsid w:val="00AD022C"/>
    <w:rsid w:val="00AD6D7C"/>
    <w:rsid w:val="00AD7DEB"/>
    <w:rsid w:val="00AE01B5"/>
    <w:rsid w:val="00AF113B"/>
    <w:rsid w:val="00B10A19"/>
    <w:rsid w:val="00B17DE0"/>
    <w:rsid w:val="00B31D9F"/>
    <w:rsid w:val="00B36267"/>
    <w:rsid w:val="00B50A72"/>
    <w:rsid w:val="00B529F3"/>
    <w:rsid w:val="00B6062F"/>
    <w:rsid w:val="00B76397"/>
    <w:rsid w:val="00BA6DE9"/>
    <w:rsid w:val="00C15ADF"/>
    <w:rsid w:val="00C2215B"/>
    <w:rsid w:val="00C26EE9"/>
    <w:rsid w:val="00C404E5"/>
    <w:rsid w:val="00C517E3"/>
    <w:rsid w:val="00C52C79"/>
    <w:rsid w:val="00CB7DC5"/>
    <w:rsid w:val="00CD2935"/>
    <w:rsid w:val="00CD2AEA"/>
    <w:rsid w:val="00CD4C99"/>
    <w:rsid w:val="00CE1707"/>
    <w:rsid w:val="00D01E89"/>
    <w:rsid w:val="00D11148"/>
    <w:rsid w:val="00D16AD5"/>
    <w:rsid w:val="00D8527E"/>
    <w:rsid w:val="00D976CF"/>
    <w:rsid w:val="00DA2F27"/>
    <w:rsid w:val="00DB0153"/>
    <w:rsid w:val="00DB40EF"/>
    <w:rsid w:val="00DB6482"/>
    <w:rsid w:val="00DC70F2"/>
    <w:rsid w:val="00DE24E8"/>
    <w:rsid w:val="00E025F6"/>
    <w:rsid w:val="00E02752"/>
    <w:rsid w:val="00E11FAE"/>
    <w:rsid w:val="00E17039"/>
    <w:rsid w:val="00E17C49"/>
    <w:rsid w:val="00E238A6"/>
    <w:rsid w:val="00E25BEE"/>
    <w:rsid w:val="00E31CB4"/>
    <w:rsid w:val="00E34005"/>
    <w:rsid w:val="00E36F66"/>
    <w:rsid w:val="00E4233A"/>
    <w:rsid w:val="00E6472E"/>
    <w:rsid w:val="00E85E19"/>
    <w:rsid w:val="00E94281"/>
    <w:rsid w:val="00E963FC"/>
    <w:rsid w:val="00EB4A66"/>
    <w:rsid w:val="00EC6264"/>
    <w:rsid w:val="00ED0F72"/>
    <w:rsid w:val="00ED4030"/>
    <w:rsid w:val="00EF3E59"/>
    <w:rsid w:val="00EF6E5B"/>
    <w:rsid w:val="00F033FA"/>
    <w:rsid w:val="00F05FAE"/>
    <w:rsid w:val="00F15238"/>
    <w:rsid w:val="00F20AC1"/>
    <w:rsid w:val="00F5001E"/>
    <w:rsid w:val="00F546B6"/>
    <w:rsid w:val="00FD101A"/>
    <w:rsid w:val="00FE0142"/>
    <w:rsid w:val="00FE1515"/>
    <w:rsid w:val="00FF0E3E"/>
    <w:rsid w:val="00FF70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3E82"/>
  <w15:chartTrackingRefBased/>
  <w15:docId w15:val="{96B6EBB2-FFAF-4C93-BD81-7B9D87AB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E5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E5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E5A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E5A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E5A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E5A8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E5A8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E5A8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E5A8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5A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E5A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E5A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E5A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E5A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E5A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E5A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E5A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E5A80"/>
    <w:rPr>
      <w:rFonts w:eastAsiaTheme="majorEastAsia" w:cstheme="majorBidi"/>
      <w:color w:val="272727" w:themeColor="text1" w:themeTint="D8"/>
    </w:rPr>
  </w:style>
  <w:style w:type="paragraph" w:styleId="Titel">
    <w:name w:val="Title"/>
    <w:basedOn w:val="Standard"/>
    <w:next w:val="Standard"/>
    <w:link w:val="TitelZchn"/>
    <w:uiPriority w:val="10"/>
    <w:qFormat/>
    <w:rsid w:val="001E5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5A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E5A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E5A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E5A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E5A80"/>
    <w:rPr>
      <w:i/>
      <w:iCs/>
      <w:color w:val="404040" w:themeColor="text1" w:themeTint="BF"/>
    </w:rPr>
  </w:style>
  <w:style w:type="paragraph" w:styleId="Listenabsatz">
    <w:name w:val="List Paragraph"/>
    <w:basedOn w:val="Standard"/>
    <w:uiPriority w:val="34"/>
    <w:qFormat/>
    <w:rsid w:val="001E5A80"/>
    <w:pPr>
      <w:ind w:left="720"/>
      <w:contextualSpacing/>
    </w:pPr>
  </w:style>
  <w:style w:type="character" w:styleId="IntensiveHervorhebung">
    <w:name w:val="Intense Emphasis"/>
    <w:basedOn w:val="Absatz-Standardschriftart"/>
    <w:uiPriority w:val="21"/>
    <w:qFormat/>
    <w:rsid w:val="001E5A80"/>
    <w:rPr>
      <w:i/>
      <w:iCs/>
      <w:color w:val="0F4761" w:themeColor="accent1" w:themeShade="BF"/>
    </w:rPr>
  </w:style>
  <w:style w:type="paragraph" w:styleId="IntensivesZitat">
    <w:name w:val="Intense Quote"/>
    <w:basedOn w:val="Standard"/>
    <w:next w:val="Standard"/>
    <w:link w:val="IntensivesZitatZchn"/>
    <w:uiPriority w:val="30"/>
    <w:qFormat/>
    <w:rsid w:val="001E5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E5A80"/>
    <w:rPr>
      <w:i/>
      <w:iCs/>
      <w:color w:val="0F4761" w:themeColor="accent1" w:themeShade="BF"/>
    </w:rPr>
  </w:style>
  <w:style w:type="character" w:styleId="IntensiverVerweis">
    <w:name w:val="Intense Reference"/>
    <w:basedOn w:val="Absatz-Standardschriftart"/>
    <w:uiPriority w:val="32"/>
    <w:qFormat/>
    <w:rsid w:val="001E5A80"/>
    <w:rPr>
      <w:b/>
      <w:bCs/>
      <w:smallCaps/>
      <w:color w:val="0F4761" w:themeColor="accent1" w:themeShade="BF"/>
      <w:spacing w:val="5"/>
    </w:rPr>
  </w:style>
  <w:style w:type="character" w:styleId="Hyperlink">
    <w:name w:val="Hyperlink"/>
    <w:basedOn w:val="Absatz-Standardschriftart"/>
    <w:uiPriority w:val="99"/>
    <w:unhideWhenUsed/>
    <w:rsid w:val="001F7B9E"/>
    <w:rPr>
      <w:color w:val="467886" w:themeColor="hyperlink"/>
      <w:u w:val="single"/>
    </w:rPr>
  </w:style>
  <w:style w:type="character" w:styleId="NichtaufgelsteErwhnung">
    <w:name w:val="Unresolved Mention"/>
    <w:basedOn w:val="Absatz-Standardschriftart"/>
    <w:uiPriority w:val="99"/>
    <w:semiHidden/>
    <w:unhideWhenUsed/>
    <w:rsid w:val="001F7B9E"/>
    <w:rPr>
      <w:color w:val="605E5C"/>
      <w:shd w:val="clear" w:color="auto" w:fill="E1DFDD"/>
    </w:rPr>
  </w:style>
  <w:style w:type="table" w:styleId="Tabellenraster">
    <w:name w:val="Table Grid"/>
    <w:basedOn w:val="NormaleTabelle"/>
    <w:uiPriority w:val="39"/>
    <w:rsid w:val="00A9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E1707"/>
    <w:pPr>
      <w:spacing w:after="0" w:line="240" w:lineRule="auto"/>
    </w:pPr>
  </w:style>
  <w:style w:type="paragraph" w:styleId="Kopfzeile">
    <w:name w:val="header"/>
    <w:basedOn w:val="Standard"/>
    <w:link w:val="KopfzeileZchn"/>
    <w:uiPriority w:val="99"/>
    <w:unhideWhenUsed/>
    <w:rsid w:val="00DC70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70F2"/>
  </w:style>
  <w:style w:type="paragraph" w:styleId="Fuzeile">
    <w:name w:val="footer"/>
    <w:basedOn w:val="Standard"/>
    <w:link w:val="FuzeileZchn"/>
    <w:uiPriority w:val="99"/>
    <w:unhideWhenUsed/>
    <w:rsid w:val="00DC70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25503">
      <w:bodyDiv w:val="1"/>
      <w:marLeft w:val="0"/>
      <w:marRight w:val="0"/>
      <w:marTop w:val="0"/>
      <w:marBottom w:val="0"/>
      <w:divBdr>
        <w:top w:val="none" w:sz="0" w:space="0" w:color="auto"/>
        <w:left w:val="none" w:sz="0" w:space="0" w:color="auto"/>
        <w:bottom w:val="none" w:sz="0" w:space="0" w:color="auto"/>
        <w:right w:val="none" w:sz="0" w:space="0" w:color="auto"/>
      </w:divBdr>
    </w:div>
    <w:div w:id="670915085">
      <w:bodyDiv w:val="1"/>
      <w:marLeft w:val="0"/>
      <w:marRight w:val="0"/>
      <w:marTop w:val="0"/>
      <w:marBottom w:val="0"/>
      <w:divBdr>
        <w:top w:val="none" w:sz="0" w:space="0" w:color="auto"/>
        <w:left w:val="none" w:sz="0" w:space="0" w:color="auto"/>
        <w:bottom w:val="none" w:sz="0" w:space="0" w:color="auto"/>
        <w:right w:val="none" w:sz="0" w:space="0" w:color="auto"/>
      </w:divBdr>
    </w:div>
    <w:div w:id="950630001">
      <w:bodyDiv w:val="1"/>
      <w:marLeft w:val="0"/>
      <w:marRight w:val="0"/>
      <w:marTop w:val="0"/>
      <w:marBottom w:val="0"/>
      <w:divBdr>
        <w:top w:val="none" w:sz="0" w:space="0" w:color="auto"/>
        <w:left w:val="none" w:sz="0" w:space="0" w:color="auto"/>
        <w:bottom w:val="none" w:sz="0" w:space="0" w:color="auto"/>
        <w:right w:val="none" w:sz="0" w:space="0" w:color="auto"/>
      </w:divBdr>
    </w:div>
    <w:div w:id="1154374541">
      <w:bodyDiv w:val="1"/>
      <w:marLeft w:val="0"/>
      <w:marRight w:val="0"/>
      <w:marTop w:val="0"/>
      <w:marBottom w:val="0"/>
      <w:divBdr>
        <w:top w:val="none" w:sz="0" w:space="0" w:color="auto"/>
        <w:left w:val="none" w:sz="0" w:space="0" w:color="auto"/>
        <w:bottom w:val="none" w:sz="0" w:space="0" w:color="auto"/>
        <w:right w:val="none" w:sz="0" w:space="0" w:color="auto"/>
      </w:divBdr>
    </w:div>
    <w:div w:id="1599872052">
      <w:bodyDiv w:val="1"/>
      <w:marLeft w:val="0"/>
      <w:marRight w:val="0"/>
      <w:marTop w:val="0"/>
      <w:marBottom w:val="0"/>
      <w:divBdr>
        <w:top w:val="none" w:sz="0" w:space="0" w:color="auto"/>
        <w:left w:val="none" w:sz="0" w:space="0" w:color="auto"/>
        <w:bottom w:val="none" w:sz="0" w:space="0" w:color="auto"/>
        <w:right w:val="none" w:sz="0" w:space="0" w:color="auto"/>
      </w:divBdr>
    </w:div>
    <w:div w:id="1612317201">
      <w:bodyDiv w:val="1"/>
      <w:marLeft w:val="0"/>
      <w:marRight w:val="0"/>
      <w:marTop w:val="0"/>
      <w:marBottom w:val="0"/>
      <w:divBdr>
        <w:top w:val="none" w:sz="0" w:space="0" w:color="auto"/>
        <w:left w:val="none" w:sz="0" w:space="0" w:color="auto"/>
        <w:bottom w:val="none" w:sz="0" w:space="0" w:color="auto"/>
        <w:right w:val="none" w:sz="0" w:space="0" w:color="auto"/>
      </w:divBdr>
    </w:div>
    <w:div w:id="1786928420">
      <w:bodyDiv w:val="1"/>
      <w:marLeft w:val="0"/>
      <w:marRight w:val="0"/>
      <w:marTop w:val="0"/>
      <w:marBottom w:val="0"/>
      <w:divBdr>
        <w:top w:val="none" w:sz="0" w:space="0" w:color="auto"/>
        <w:left w:val="none" w:sz="0" w:space="0" w:color="auto"/>
        <w:bottom w:val="none" w:sz="0" w:space="0" w:color="auto"/>
        <w:right w:val="none" w:sz="0" w:space="0" w:color="auto"/>
      </w:divBdr>
    </w:div>
    <w:div w:id="18607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AEA52.D547529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F630-9661-49A0-B502-D292D96D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5005</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Riedo</dc:creator>
  <cp:keywords/>
  <dc:description/>
  <cp:lastModifiedBy>Ruth Walter</cp:lastModifiedBy>
  <cp:revision>2</cp:revision>
  <cp:lastPrinted>2025-09-30T21:46:00Z</cp:lastPrinted>
  <dcterms:created xsi:type="dcterms:W3CDTF">2025-09-30T21:49:00Z</dcterms:created>
  <dcterms:modified xsi:type="dcterms:W3CDTF">2025-09-30T21:49:00Z</dcterms:modified>
</cp:coreProperties>
</file>